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D170A" w14:textId="77777777" w:rsidR="006231A0" w:rsidRPr="008956FC" w:rsidRDefault="006231A0" w:rsidP="008956FC">
      <w:pPr>
        <w:widowControl w:val="0"/>
        <w:pBdr>
          <w:top w:val="nil"/>
          <w:left w:val="nil"/>
          <w:bottom w:val="nil"/>
          <w:right w:val="nil"/>
          <w:between w:val="nil"/>
        </w:pBdr>
        <w:spacing w:after="0"/>
        <w:rPr>
          <w:caps/>
        </w:rPr>
      </w:pPr>
    </w:p>
    <w:p w14:paraId="4E49B78B" w14:textId="77777777" w:rsidR="006231A0" w:rsidRDefault="006231A0">
      <w:pPr>
        <w:widowControl w:val="0"/>
        <w:pBdr>
          <w:top w:val="nil"/>
          <w:left w:val="nil"/>
          <w:bottom w:val="nil"/>
          <w:right w:val="nil"/>
          <w:between w:val="nil"/>
        </w:pBdr>
        <w:spacing w:after="0"/>
      </w:pPr>
      <w:bookmarkStart w:id="0" w:name="_heading=h.2s8eyo1" w:colFirst="0" w:colLast="0"/>
      <w:bookmarkEnd w:id="0"/>
    </w:p>
    <w:p w14:paraId="7D133253" w14:textId="14512A54"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b/>
          <w:color w:val="000000"/>
          <w:sz w:val="36"/>
        </w:rPr>
        <w:t>Call-Off Schedule 14 (</w:t>
      </w:r>
      <w:r>
        <w:rPr>
          <w:rFonts w:ascii="Arial" w:eastAsia="Arial" w:hAnsi="Arial" w:cs="Arial"/>
          <w:b/>
          <w:color w:val="000000"/>
          <w:sz w:val="36"/>
          <w:szCs w:val="36"/>
        </w:rPr>
        <w:t>Key Performance Indicators</w:t>
      </w:r>
      <w:r w:rsidRPr="008956FC">
        <w:rPr>
          <w:rFonts w:ascii="Arial" w:hAnsi="Arial"/>
          <w:b/>
          <w:color w:val="000000"/>
          <w:sz w:val="36"/>
        </w:rPr>
        <w:t>)</w:t>
      </w:r>
    </w:p>
    <w:p w14:paraId="647E8A65" w14:textId="77777777"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Definitions</w:t>
      </w:r>
    </w:p>
    <w:p w14:paraId="6590226D"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In this Schedule, the following words shall have the following meanings and they shall supplement Joint Schedule 1 (Definitions):</w:t>
      </w:r>
    </w:p>
    <w:tbl>
      <w:tblPr>
        <w:tblStyle w:val="affc"/>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6231A0" w14:paraId="1F705ECD" w14:textId="77777777">
        <w:tc>
          <w:tcPr>
            <w:tcW w:w="2410" w:type="dxa"/>
            <w:shd w:val="clear" w:color="auto" w:fill="auto"/>
          </w:tcPr>
          <w:p w14:paraId="6585925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shd w:val="clear" w:color="auto" w:fill="auto"/>
          </w:tcPr>
          <w:p w14:paraId="504C6FF8"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6231A0" w14:paraId="6C938B8E" w14:textId="77777777">
        <w:tc>
          <w:tcPr>
            <w:tcW w:w="2410" w:type="dxa"/>
            <w:shd w:val="clear" w:color="auto" w:fill="auto"/>
          </w:tcPr>
          <w:p w14:paraId="34F1B2EB"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14:paraId="3769B00C" w14:textId="77777777" w:rsidR="006231A0" w:rsidRDefault="005D6FC8">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6231A0" w14:paraId="1E1B85E1" w14:textId="77777777" w:rsidTr="008956FC">
        <w:tc>
          <w:tcPr>
            <w:tcW w:w="2410" w:type="dxa"/>
            <w:shd w:val="clear" w:color="auto" w:fill="auto"/>
          </w:tcPr>
          <w:p w14:paraId="735DC690" w14:textId="77777777"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"Earn Back %"</w:t>
            </w:r>
          </w:p>
        </w:tc>
        <w:tc>
          <w:tcPr>
            <w:tcW w:w="5953" w:type="dxa"/>
            <w:shd w:val="clear" w:color="auto" w:fill="auto"/>
          </w:tcPr>
          <w:p w14:paraId="6F976571" w14:textId="45C3B9D5"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6231A0" w14:paraId="79207914" w14:textId="77777777">
        <w:tc>
          <w:tcPr>
            <w:tcW w:w="2410" w:type="dxa"/>
            <w:shd w:val="clear" w:color="auto" w:fill="auto"/>
          </w:tcPr>
          <w:p w14:paraId="20EBDCE3" w14:textId="77777777" w:rsidR="006231A0" w:rsidRDefault="005D6FC8">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14:paraId="1385A345" w14:textId="77777777" w:rsidR="006231A0" w:rsidRDefault="006231A0">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14:paraId="08D5476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6231A0" w14:paraId="27B23CE8" w14:textId="77777777">
        <w:tc>
          <w:tcPr>
            <w:tcW w:w="2410" w:type="dxa"/>
            <w:shd w:val="clear" w:color="auto" w:fill="auto"/>
          </w:tcPr>
          <w:p w14:paraId="6DD1E57B" w14:textId="77777777" w:rsidR="006231A0" w:rsidRDefault="005D6FC8">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 xml:space="preserve">“KPI Category </w:t>
            </w:r>
            <w:proofErr w:type="gramStart"/>
            <w:r>
              <w:rPr>
                <w:rFonts w:ascii="Arial" w:eastAsia="Arial" w:hAnsi="Arial" w:cs="Arial"/>
                <w:b/>
                <w:sz w:val="24"/>
                <w:szCs w:val="24"/>
              </w:rPr>
              <w:t>At</w:t>
            </w:r>
            <w:proofErr w:type="gramEnd"/>
            <w:r>
              <w:rPr>
                <w:rFonts w:ascii="Arial" w:eastAsia="Arial" w:hAnsi="Arial" w:cs="Arial"/>
                <w:b/>
                <w:sz w:val="24"/>
                <w:szCs w:val="24"/>
              </w:rPr>
              <w:t xml:space="preserve"> Risk Amount”</w:t>
            </w:r>
          </w:p>
        </w:tc>
        <w:tc>
          <w:tcPr>
            <w:tcW w:w="5953" w:type="dxa"/>
            <w:shd w:val="clear" w:color="auto" w:fill="auto"/>
          </w:tcPr>
          <w:p w14:paraId="285D8B35"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6231A0" w14:paraId="53DC4A75" w14:textId="77777777" w:rsidTr="008956FC">
        <w:tc>
          <w:tcPr>
            <w:tcW w:w="2410" w:type="dxa"/>
            <w:shd w:val="clear" w:color="auto" w:fill="auto"/>
          </w:tcPr>
          <w:p w14:paraId="7BD76326" w14:textId="00BCF7C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r w:rsidRPr="008956FC">
              <w:rPr>
                <w:rFonts w:ascii="Arial" w:hAnsi="Arial"/>
                <w:b/>
                <w:color w:val="000000"/>
                <w:sz w:val="24"/>
              </w:rPr>
              <w:t>"</w:t>
            </w:r>
          </w:p>
        </w:tc>
        <w:tc>
          <w:tcPr>
            <w:tcW w:w="5953" w:type="dxa"/>
            <w:shd w:val="clear" w:color="auto" w:fill="auto"/>
          </w:tcPr>
          <w:p w14:paraId="1103A4F7" w14:textId="0DCF6852"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sidRPr="008956FC">
              <w:rPr>
                <w:rFonts w:ascii="Arial" w:hAnsi="Arial"/>
                <w:color w:val="000000"/>
                <w:sz w:val="24"/>
              </w:rPr>
              <w:t xml:space="preserve"> in the Annex </w:t>
            </w:r>
            <w:r w:rsidR="00E943A7">
              <w:rPr>
                <w:rFonts w:ascii="Arial" w:eastAsia="Arial" w:hAnsi="Arial" w:cs="Arial"/>
                <w:sz w:val="24"/>
                <w:szCs w:val="24"/>
              </w:rPr>
              <w:t>A</w:t>
            </w:r>
            <w:r>
              <w:rPr>
                <w:rFonts w:ascii="Arial" w:eastAsia="Arial" w:hAnsi="Arial" w:cs="Arial"/>
                <w:sz w:val="24"/>
                <w:szCs w:val="24"/>
              </w:rPr>
              <w:t xml:space="preserve"> </w:t>
            </w:r>
            <w:r w:rsidRPr="008956FC">
              <w:rPr>
                <w:rFonts w:ascii="Arial" w:hAnsi="Arial"/>
                <w:color w:val="000000"/>
                <w:sz w:val="24"/>
              </w:rPr>
              <w:t>to Part</w:t>
            </w:r>
            <w:r>
              <w:rPr>
                <w:rFonts w:ascii="Arial" w:eastAsia="Arial" w:hAnsi="Arial" w:cs="Arial"/>
                <w:sz w:val="24"/>
                <w:szCs w:val="24"/>
              </w:rPr>
              <w:t> </w:t>
            </w:r>
            <w:r w:rsidRPr="008956FC">
              <w:rPr>
                <w:rFonts w:ascii="Arial" w:hAnsi="Arial"/>
                <w:color w:val="000000"/>
                <w:sz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w:t>
            </w:r>
            <w:r w:rsidRPr="008956FC">
              <w:rPr>
                <w:rFonts w:ascii="Arial" w:hAnsi="Arial"/>
                <w:sz w:val="24"/>
              </w:rPr>
              <w:t xml:space="preserve"> of </w:t>
            </w:r>
            <w:r>
              <w:rPr>
                <w:rFonts w:ascii="Arial" w:eastAsia="Arial" w:hAnsi="Arial" w:cs="Arial"/>
                <w:sz w:val="24"/>
                <w:szCs w:val="24"/>
              </w:rPr>
              <w:t>the operation of the KPI regime in this Schedule</w:t>
            </w:r>
            <w:r w:rsidRPr="008956FC">
              <w:rPr>
                <w:rFonts w:ascii="Arial" w:hAnsi="Arial"/>
                <w:color w:val="000000"/>
                <w:sz w:val="24"/>
              </w:rPr>
              <w:t>;</w:t>
            </w:r>
          </w:p>
        </w:tc>
      </w:tr>
      <w:tr w:rsidR="006231A0" w14:paraId="6BEFF99B" w14:textId="77777777" w:rsidTr="008956FC">
        <w:tc>
          <w:tcPr>
            <w:tcW w:w="2410" w:type="dxa"/>
            <w:shd w:val="clear" w:color="auto" w:fill="auto"/>
          </w:tcPr>
          <w:p w14:paraId="45214338" w14:textId="7531BB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sz w:val="24"/>
                <w:szCs w:val="24"/>
              </w:rPr>
              <w:t>"KPI At Risk Amount"</w:t>
            </w:r>
          </w:p>
        </w:tc>
        <w:tc>
          <w:tcPr>
            <w:tcW w:w="5953" w:type="dxa"/>
            <w:shd w:val="clear" w:color="auto" w:fill="auto"/>
          </w:tcPr>
          <w:p w14:paraId="281C9795" w14:textId="0FF6FA7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6231A0" w14:paraId="592DCED2" w14:textId="77777777" w:rsidTr="008956FC">
        <w:tc>
          <w:tcPr>
            <w:tcW w:w="2410" w:type="dxa"/>
            <w:shd w:val="clear" w:color="auto" w:fill="auto"/>
          </w:tcPr>
          <w:p w14:paraId="70479E46" w14:textId="10F3298E" w:rsidR="006231A0" w:rsidRPr="008956FC" w:rsidRDefault="005D6FC8" w:rsidP="008956FC">
            <w:pPr>
              <w:pBdr>
                <w:top w:val="nil"/>
                <w:left w:val="nil"/>
                <w:bottom w:val="nil"/>
                <w:right w:val="nil"/>
                <w:between w:val="nil"/>
              </w:pBdr>
              <w:spacing w:after="120"/>
              <w:ind w:left="-108"/>
              <w:rPr>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Failure"</w:t>
            </w:r>
          </w:p>
        </w:tc>
        <w:tc>
          <w:tcPr>
            <w:tcW w:w="5953" w:type="dxa"/>
            <w:shd w:val="clear" w:color="auto" w:fill="auto"/>
          </w:tcPr>
          <w:p w14:paraId="068FE416" w14:textId="707A0DB6"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sidRPr="008956FC">
              <w:rPr>
                <w:rFonts w:ascii="Arial" w:hAnsi="Arial"/>
                <w:color w:val="000000"/>
                <w:sz w:val="24"/>
              </w:rPr>
              <w:t xml:space="preserve">means a failure to meet the </w:t>
            </w:r>
            <w:r>
              <w:rPr>
                <w:rFonts w:ascii="Arial" w:eastAsia="Arial" w:hAnsi="Arial" w:cs="Arial"/>
                <w:color w:val="000000"/>
                <w:sz w:val="24"/>
                <w:szCs w:val="24"/>
              </w:rPr>
              <w:t>KPI</w:t>
            </w:r>
            <w:r w:rsidRPr="008956FC">
              <w:rPr>
                <w:rFonts w:ascii="Arial" w:hAnsi="Arial"/>
                <w:color w:val="000000"/>
                <w:sz w:val="24"/>
              </w:rPr>
              <w:t xml:space="preserve"> Performance Measure in respect of a </w:t>
            </w:r>
            <w:r>
              <w:rPr>
                <w:rFonts w:ascii="Arial" w:eastAsia="Arial" w:hAnsi="Arial" w:cs="Arial"/>
                <w:color w:val="000000"/>
                <w:sz w:val="24"/>
                <w:szCs w:val="24"/>
              </w:rPr>
              <w:t>KPI</w:t>
            </w:r>
            <w:r w:rsidRPr="008956FC">
              <w:rPr>
                <w:rFonts w:ascii="Arial" w:hAnsi="Arial"/>
                <w:color w:val="000000"/>
                <w:sz w:val="24"/>
              </w:rPr>
              <w:t>;</w:t>
            </w:r>
          </w:p>
        </w:tc>
      </w:tr>
      <w:tr w:rsidR="006231A0" w14:paraId="00B4B060" w14:textId="77777777" w:rsidTr="008956FC">
        <w:tc>
          <w:tcPr>
            <w:tcW w:w="2410" w:type="dxa"/>
            <w:shd w:val="clear" w:color="auto" w:fill="auto"/>
          </w:tcPr>
          <w:p w14:paraId="4D643C49" w14:textId="156CE420" w:rsidR="006231A0" w:rsidRPr="008956FC" w:rsidRDefault="005D6FC8" w:rsidP="008956FC">
            <w:pPr>
              <w:pBdr>
                <w:top w:val="nil"/>
                <w:left w:val="nil"/>
                <w:bottom w:val="nil"/>
                <w:right w:val="nil"/>
                <w:between w:val="nil"/>
              </w:pBdr>
              <w:spacing w:after="120"/>
              <w:ind w:left="-108"/>
              <w:rPr>
                <w:color w:val="000000"/>
                <w:sz w:val="24"/>
              </w:rPr>
            </w:pPr>
            <w:r w:rsidRPr="008956FC">
              <w:rPr>
                <w:rFonts w:ascii="Arial" w:hAnsi="Arial"/>
                <w:b/>
                <w:color w:val="000000"/>
                <w:sz w:val="24"/>
              </w:rPr>
              <w:t>"</w:t>
            </w:r>
            <w:r>
              <w:rPr>
                <w:rFonts w:ascii="Arial" w:eastAsia="Arial" w:hAnsi="Arial" w:cs="Arial"/>
                <w:b/>
                <w:color w:val="000000"/>
                <w:sz w:val="24"/>
                <w:szCs w:val="24"/>
              </w:rPr>
              <w:t>KPI</w:t>
            </w:r>
            <w:r w:rsidRPr="008956FC">
              <w:rPr>
                <w:rFonts w:ascii="Arial" w:hAnsi="Arial"/>
                <w:b/>
                <w:color w:val="000000"/>
                <w:sz w:val="24"/>
              </w:rPr>
              <w:t xml:space="preserve"> Performance Measure"</w:t>
            </w:r>
          </w:p>
        </w:tc>
        <w:tc>
          <w:tcPr>
            <w:tcW w:w="5953" w:type="dxa"/>
            <w:shd w:val="clear" w:color="auto" w:fill="auto"/>
          </w:tcPr>
          <w:p w14:paraId="196988E0" w14:textId="0D784D69"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sz w:val="24"/>
                <w:szCs w:val="24"/>
              </w:rPr>
              <w:t xml:space="preserve">means each of the Performance Measures in the columns headed Measure Requirement and </w:t>
            </w:r>
            <w:r>
              <w:rPr>
                <w:rFonts w:ascii="Arial" w:eastAsia="Arial" w:hAnsi="Arial" w:cs="Arial"/>
                <w:sz w:val="24"/>
                <w:szCs w:val="24"/>
              </w:rPr>
              <w:lastRenderedPageBreak/>
              <w:t xml:space="preserve">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6231A0" w14:paraId="4B6FB0E4" w14:textId="77777777">
        <w:tc>
          <w:tcPr>
            <w:tcW w:w="2410" w:type="dxa"/>
            <w:shd w:val="clear" w:color="auto" w:fill="auto"/>
          </w:tcPr>
          <w:p w14:paraId="2EDF12CA"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5953" w:type="dxa"/>
            <w:shd w:val="clear" w:color="auto" w:fill="auto"/>
          </w:tcPr>
          <w:p w14:paraId="3EE0A6E7"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195F9CDE" w14:textId="77777777">
        <w:tc>
          <w:tcPr>
            <w:tcW w:w="2410" w:type="dxa"/>
            <w:shd w:val="clear" w:color="auto" w:fill="auto"/>
          </w:tcPr>
          <w:p w14:paraId="16E1E935"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5953" w:type="dxa"/>
            <w:shd w:val="clear" w:color="auto" w:fill="auto"/>
          </w:tcPr>
          <w:p w14:paraId="73BC4994"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6231A0" w14:paraId="6E550EA0" w14:textId="77777777">
        <w:tc>
          <w:tcPr>
            <w:tcW w:w="2410" w:type="dxa"/>
            <w:shd w:val="clear" w:color="auto" w:fill="auto"/>
          </w:tcPr>
          <w:p w14:paraId="0411ABEC"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14:paraId="34FD23D9"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6231A0" w14:paraId="2D8394E7" w14:textId="77777777" w:rsidTr="008956FC">
        <w:tc>
          <w:tcPr>
            <w:tcW w:w="2410" w:type="dxa"/>
            <w:shd w:val="clear" w:color="auto" w:fill="auto"/>
          </w:tcPr>
          <w:p w14:paraId="501F0550" w14:textId="04268E9A" w:rsidR="006231A0" w:rsidRPr="008956FC" w:rsidRDefault="005D6FC8" w:rsidP="008956FC">
            <w:pPr>
              <w:pBdr>
                <w:top w:val="nil"/>
                <w:left w:val="nil"/>
                <w:bottom w:val="nil"/>
                <w:right w:val="nil"/>
                <w:between w:val="nil"/>
              </w:pBdr>
              <w:spacing w:after="120"/>
              <w:ind w:left="-108"/>
              <w:rPr>
                <w:color w:val="000000"/>
                <w:sz w:val="24"/>
              </w:rPr>
            </w:pPr>
            <w:r>
              <w:rPr>
                <w:rFonts w:ascii="Arial" w:eastAsia="Arial" w:hAnsi="Arial" w:cs="Arial"/>
                <w:b/>
                <w:color w:val="000000"/>
                <w:sz w:val="24"/>
                <w:szCs w:val="24"/>
              </w:rPr>
              <w:t>"KPI Credits"</w:t>
            </w:r>
          </w:p>
        </w:tc>
        <w:tc>
          <w:tcPr>
            <w:tcW w:w="5953" w:type="dxa"/>
            <w:shd w:val="clear" w:color="auto" w:fill="auto"/>
          </w:tcPr>
          <w:p w14:paraId="511BAB33" w14:textId="4A181F2F" w:rsidR="006231A0" w:rsidRPr="008956FC" w:rsidRDefault="005D6FC8" w:rsidP="008956FC">
            <w:pPr>
              <w:pBdr>
                <w:top w:val="nil"/>
                <w:left w:val="nil"/>
                <w:bottom w:val="nil"/>
                <w:right w:val="nil"/>
                <w:between w:val="nil"/>
              </w:pBdr>
              <w:tabs>
                <w:tab w:val="left" w:pos="-9"/>
                <w:tab w:val="left" w:pos="-179"/>
              </w:tabs>
              <w:spacing w:after="120"/>
              <w:ind w:left="170"/>
              <w:rPr>
                <w:color w:val="000000"/>
                <w:sz w:val="24"/>
              </w:rPr>
            </w:pPr>
            <w:r>
              <w:rPr>
                <w:rFonts w:ascii="Arial" w:eastAsia="Arial" w:hAnsi="Arial" w:cs="Arial"/>
                <w:color w:val="000000"/>
                <w:sz w:val="24"/>
                <w:szCs w:val="24"/>
              </w:rPr>
              <w:t>any KPI Credits specified</w:t>
            </w:r>
            <w:r w:rsidRPr="008956FC">
              <w:rPr>
                <w:rFonts w:ascii="Arial" w:hAnsi="Arial"/>
                <w:color w:val="000000"/>
                <w:sz w:val="24"/>
              </w:rPr>
              <w:t xml:space="preserve"> in the Annex to Part</w:t>
            </w:r>
            <w:r>
              <w:rPr>
                <w:rFonts w:ascii="Arial" w:eastAsia="Arial" w:hAnsi="Arial" w:cs="Arial"/>
                <w:color w:val="000000"/>
                <w:sz w:val="24"/>
                <w:szCs w:val="24"/>
              </w:rPr>
              <w:t xml:space="preserve"> </w:t>
            </w:r>
            <w:r w:rsidRPr="008956FC">
              <w:rPr>
                <w:rFonts w:ascii="Arial" w:hAnsi="Arial"/>
                <w:color w:val="000000"/>
                <w:sz w:val="24"/>
              </w:rPr>
              <w:t>A of this Schedule</w:t>
            </w:r>
            <w:r>
              <w:rPr>
                <w:rFonts w:ascii="Arial" w:eastAsia="Arial" w:hAnsi="Arial" w:cs="Arial"/>
                <w:color w:val="000000"/>
                <w:sz w:val="24"/>
                <w:szCs w:val="24"/>
              </w:rPr>
              <w:t xml:space="preserve"> being payable by the Supplier to the Buyer in respect of any failure by the Supplier to meet one or more KPIs;</w:t>
            </w:r>
          </w:p>
        </w:tc>
      </w:tr>
      <w:tr w:rsidR="006231A0" w14:paraId="347B5786" w14:textId="77777777">
        <w:tc>
          <w:tcPr>
            <w:tcW w:w="2410" w:type="dxa"/>
            <w:shd w:val="clear" w:color="auto" w:fill="auto"/>
          </w:tcPr>
          <w:p w14:paraId="2BF41F70" w14:textId="77777777" w:rsidR="006231A0" w:rsidRDefault="005D6FC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14:paraId="4F66C408" w14:textId="77777777" w:rsidR="006231A0" w:rsidRDefault="005D6FC8">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14:paraId="7AD989BD" w14:textId="77777777" w:rsidR="006231A0" w:rsidRDefault="006231A0">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14:paraId="0686249B" w14:textId="1A713A33"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smallCaps/>
          <w:color w:val="000000"/>
          <w:sz w:val="24"/>
        </w:rPr>
      </w:pPr>
      <w:r w:rsidRPr="008956FC">
        <w:rPr>
          <w:rFonts w:ascii="Arial" w:hAnsi="Arial" w:hint="eastAsia"/>
          <w:b/>
          <w:color w:val="000000"/>
          <w:sz w:val="24"/>
        </w:rPr>
        <w:t>What happens if you don</w:t>
      </w:r>
      <w:r w:rsidRPr="008956FC">
        <w:rPr>
          <w:rFonts w:ascii="Arial" w:hAnsi="Arial" w:hint="eastAsia"/>
          <w:b/>
          <w:color w:val="000000"/>
          <w:sz w:val="24"/>
        </w:rPr>
        <w:t>’</w:t>
      </w:r>
      <w:r w:rsidRPr="008956FC">
        <w:rPr>
          <w:rFonts w:ascii="Arial" w:hAnsi="Arial" w:hint="eastAsia"/>
          <w:b/>
          <w:color w:val="000000"/>
          <w:sz w:val="24"/>
        </w:rPr>
        <w:t xml:space="preserve">t meet the </w:t>
      </w:r>
      <w:r>
        <w:rPr>
          <w:rFonts w:ascii="Arial" w:eastAsia="Arial" w:hAnsi="Arial" w:cs="Arial"/>
          <w:b/>
          <w:color w:val="000000"/>
          <w:sz w:val="24"/>
          <w:szCs w:val="24"/>
        </w:rPr>
        <w:t>KPIs</w:t>
      </w:r>
    </w:p>
    <w:p w14:paraId="6336F50B" w14:textId="442C44A5"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at all times provide the Deliverables to meet or exceed the </w:t>
      </w:r>
      <w:r>
        <w:rPr>
          <w:rFonts w:ascii="Arial" w:eastAsia="Arial" w:hAnsi="Arial" w:cs="Arial"/>
          <w:color w:val="000000"/>
          <w:sz w:val="24"/>
          <w:szCs w:val="24"/>
        </w:rPr>
        <w:t>KPI</w:t>
      </w:r>
      <w:r w:rsidRPr="008956FC">
        <w:rPr>
          <w:rFonts w:ascii="Arial" w:hAnsi="Arial"/>
          <w:color w:val="000000"/>
          <w:sz w:val="24"/>
        </w:rPr>
        <w:t xml:space="preserve"> Performance Measure for each </w:t>
      </w:r>
      <w:r>
        <w:rPr>
          <w:rFonts w:ascii="Arial" w:eastAsia="Arial" w:hAnsi="Arial" w:cs="Arial"/>
          <w:color w:val="000000"/>
          <w:sz w:val="24"/>
          <w:szCs w:val="24"/>
        </w:rPr>
        <w:t>KPI</w:t>
      </w:r>
      <w:r w:rsidRPr="008956FC">
        <w:rPr>
          <w:rFonts w:ascii="Arial" w:hAnsi="Arial"/>
          <w:color w:val="000000"/>
          <w:sz w:val="24"/>
        </w:rPr>
        <w:t>.</w:t>
      </w:r>
    </w:p>
    <w:p w14:paraId="4E63A3AD" w14:textId="6A803AA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acknowledges that any </w:t>
      </w:r>
      <w:r>
        <w:rPr>
          <w:rFonts w:ascii="Arial" w:eastAsia="Arial" w:hAnsi="Arial" w:cs="Arial"/>
          <w:color w:val="000000"/>
          <w:sz w:val="24"/>
          <w:szCs w:val="24"/>
        </w:rPr>
        <w:t>KPI</w:t>
      </w:r>
      <w:r w:rsidRPr="008956FC">
        <w:rPr>
          <w:rFonts w:ascii="Arial" w:hAnsi="Arial"/>
          <w:color w:val="000000"/>
          <w:sz w:val="24"/>
        </w:rPr>
        <w:t xml:space="preserve"> Failure shall entitle the Buyer to the rights set out in Part A of this Schedule including the right to any </w:t>
      </w:r>
      <w:r>
        <w:rPr>
          <w:rFonts w:ascii="Arial" w:eastAsia="Arial" w:hAnsi="Arial" w:cs="Arial"/>
          <w:color w:val="000000"/>
          <w:sz w:val="24"/>
          <w:szCs w:val="24"/>
        </w:rPr>
        <w:t>KPI</w:t>
      </w:r>
      <w:r w:rsidRPr="008956FC">
        <w:rPr>
          <w:rFonts w:ascii="Arial" w:hAnsi="Arial"/>
          <w:color w:val="000000"/>
          <w:sz w:val="24"/>
        </w:rPr>
        <w:t xml:space="preserve"> Credits and that any </w:t>
      </w:r>
      <w:r>
        <w:rPr>
          <w:rFonts w:ascii="Arial" w:eastAsia="Arial" w:hAnsi="Arial" w:cs="Arial"/>
          <w:color w:val="000000"/>
          <w:sz w:val="24"/>
          <w:szCs w:val="24"/>
        </w:rPr>
        <w:t>KPI</w:t>
      </w:r>
      <w:r w:rsidRPr="008956FC">
        <w:rPr>
          <w:rFonts w:ascii="Arial" w:hAnsi="Arial"/>
          <w:color w:val="000000"/>
          <w:sz w:val="24"/>
        </w:rPr>
        <w:t xml:space="preserve"> Credit is a price adjustment and not an estimate of the Loss that may be suffered by the Buyer as a result of the Supplier’s failure to meet any </w:t>
      </w:r>
      <w:r>
        <w:rPr>
          <w:rFonts w:ascii="Arial" w:eastAsia="Arial" w:hAnsi="Arial" w:cs="Arial"/>
          <w:color w:val="000000"/>
          <w:sz w:val="24"/>
          <w:szCs w:val="24"/>
        </w:rPr>
        <w:t>KPI</w:t>
      </w:r>
      <w:r w:rsidRPr="008956FC">
        <w:rPr>
          <w:rFonts w:ascii="Arial" w:hAnsi="Arial"/>
          <w:color w:val="000000"/>
          <w:sz w:val="24"/>
        </w:rPr>
        <w:t xml:space="preserve"> Performance Measure.</w:t>
      </w:r>
    </w:p>
    <w:p w14:paraId="5F8B0747" w14:textId="77777777"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Supplier shall send Performance Monitoring Reports to the Buyer detailing the level of service which was achieved in accordance with the provisions of Part B (Performance Monitoring) of this Schedule.</w:t>
      </w:r>
    </w:p>
    <w:p w14:paraId="73A30A0E" w14:textId="29FDB03B"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 </w:t>
      </w:r>
      <w:r>
        <w:rPr>
          <w:rFonts w:ascii="Arial" w:eastAsia="Arial" w:hAnsi="Arial" w:cs="Arial"/>
          <w:color w:val="000000"/>
          <w:sz w:val="24"/>
          <w:szCs w:val="24"/>
        </w:rPr>
        <w:t>KPI</w:t>
      </w:r>
      <w:r w:rsidRPr="008956FC">
        <w:rPr>
          <w:rFonts w:ascii="Arial" w:hAnsi="Arial"/>
          <w:color w:val="000000"/>
          <w:sz w:val="24"/>
        </w:rPr>
        <w:t xml:space="preserve"> Credit shall be the Buyer’s exclusive financial remedy for a </w:t>
      </w:r>
      <w:r>
        <w:rPr>
          <w:rFonts w:ascii="Arial" w:eastAsia="Arial" w:hAnsi="Arial" w:cs="Arial"/>
          <w:color w:val="000000"/>
          <w:sz w:val="24"/>
          <w:szCs w:val="24"/>
        </w:rPr>
        <w:t>KPI</w:t>
      </w:r>
      <w:r w:rsidRPr="008956FC">
        <w:rPr>
          <w:rFonts w:ascii="Arial" w:hAnsi="Arial"/>
          <w:color w:val="000000"/>
          <w:sz w:val="24"/>
        </w:rPr>
        <w:t xml:space="preserve"> Failure except where:</w:t>
      </w:r>
    </w:p>
    <w:p w14:paraId="50C59E11" w14:textId="77777777" w:rsidR="006231A0" w:rsidRDefault="005D6FC8">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14:paraId="484DCA11"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has arisen due to a Prohibited Act or wilful Default by the Supplier; </w:t>
      </w:r>
    </w:p>
    <w:p w14:paraId="6B4DCA7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results in the corruption or loss of any Government Data; and/or</w:t>
      </w:r>
    </w:p>
    <w:p w14:paraId="225DEEDC" w14:textId="77777777" w:rsidR="006231A0" w:rsidRPr="008956FC" w:rsidRDefault="005D6FC8" w:rsidP="008956FC">
      <w:pPr>
        <w:numPr>
          <w:ilvl w:val="3"/>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results in the Buyer being required to make a compensation payment to one or more third parties; and/or</w:t>
      </w:r>
    </w:p>
    <w:p w14:paraId="08A1327C" w14:textId="454FC7A0" w:rsidR="006231A0" w:rsidRDefault="005D6FC8">
      <w:pPr>
        <w:numPr>
          <w:ilvl w:val="2"/>
          <w:numId w:val="3"/>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(When CCS or the buyer can end a contract).</w:t>
      </w:r>
    </w:p>
    <w:p w14:paraId="2B1A7A3E" w14:textId="20AA1081"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bookmarkStart w:id="3" w:name="_heading=h.gjdgxs" w:colFirst="0" w:colLast="0"/>
      <w:bookmarkEnd w:id="3"/>
      <w:r>
        <w:rPr>
          <w:rFonts w:ascii="Arial" w:eastAsia="Arial" w:hAnsi="Arial" w:cs="Arial"/>
          <w:color w:val="000000"/>
          <w:sz w:val="24"/>
          <w:szCs w:val="24"/>
        </w:rPr>
        <w:t>the</w:t>
      </w:r>
      <w:r w:rsidRPr="008956FC">
        <w:rPr>
          <w:rFonts w:ascii="Arial" w:hAnsi="Arial"/>
          <w:color w:val="000000"/>
          <w:sz w:val="24"/>
        </w:rPr>
        <w:t xml:space="preserve"> Buyer </w:t>
      </w:r>
      <w:r>
        <w:rPr>
          <w:rFonts w:ascii="Arial" w:eastAsia="Arial" w:hAnsi="Arial" w:cs="Arial"/>
          <w:color w:val="000000"/>
          <w:sz w:val="24"/>
          <w:szCs w:val="24"/>
        </w:rPr>
        <w:t>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r w:rsidRPr="008956FC">
        <w:rPr>
          <w:rFonts w:ascii="Arial" w:hAnsi="Arial"/>
          <w:color w:val="000000"/>
          <w:sz w:val="24"/>
        </w:rPr>
        <w:t>).</w:t>
      </w:r>
    </w:p>
    <w:p w14:paraId="31D06308" w14:textId="5E7662E8"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Not more than once in each Contract Year, the Buyer may, on giving the Supplier at least three (3) Months’ notice, change the weighting of </w:t>
      </w:r>
      <w:r>
        <w:rPr>
          <w:rFonts w:ascii="Arial" w:eastAsia="Arial" w:hAnsi="Arial" w:cs="Arial"/>
          <w:color w:val="000000"/>
          <w:sz w:val="24"/>
          <w:szCs w:val="24"/>
        </w:rPr>
        <w:t>KPI</w:t>
      </w:r>
      <w:r w:rsidRPr="008956FC">
        <w:rPr>
          <w:rFonts w:ascii="Arial" w:hAnsi="Arial"/>
          <w:color w:val="000000"/>
          <w:sz w:val="24"/>
        </w:rPr>
        <w:t xml:space="preserve"> Performance Measure in respect of one or more </w:t>
      </w:r>
      <w:r>
        <w:rPr>
          <w:rFonts w:ascii="Arial" w:eastAsia="Arial" w:hAnsi="Arial" w:cs="Arial"/>
          <w:color w:val="000000"/>
          <w:sz w:val="24"/>
          <w:szCs w:val="24"/>
        </w:rPr>
        <w:t>KPIs</w:t>
      </w:r>
      <w:r w:rsidRPr="008956FC">
        <w:rPr>
          <w:rFonts w:ascii="Arial" w:hAnsi="Arial"/>
          <w:color w:val="000000"/>
          <w:sz w:val="24"/>
        </w:rPr>
        <w:t xml:space="preserve"> and the Supplier shall not be entitled to object to, or increase the Charges as a result of such changes, provided that:</w:t>
      </w:r>
    </w:p>
    <w:p w14:paraId="227400D3" w14:textId="7EBD5749"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total number of </w:t>
      </w:r>
      <w:r>
        <w:rPr>
          <w:rFonts w:ascii="Arial" w:eastAsia="Arial" w:hAnsi="Arial" w:cs="Arial"/>
          <w:color w:val="000000"/>
          <w:sz w:val="24"/>
          <w:szCs w:val="24"/>
        </w:rPr>
        <w:t>KPIs</w:t>
      </w:r>
      <w:r w:rsidRPr="008956FC">
        <w:rPr>
          <w:rFonts w:ascii="Arial" w:hAnsi="Arial"/>
          <w:color w:val="000000"/>
          <w:sz w:val="24"/>
        </w:rPr>
        <w:t xml:space="preserve"> for which the weighting is to be changed does not exceed the number applicable as at the Start Date; </w:t>
      </w:r>
    </w:p>
    <w:p w14:paraId="57506D1A" w14:textId="77777777"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principal purpose of the change is to reflect changes in the Buyer's business requirements and/or priorities or to reflect changing industry standards; and</w:t>
      </w:r>
    </w:p>
    <w:p w14:paraId="43765F1A" w14:textId="40CA9922" w:rsidR="006231A0" w:rsidRPr="008956FC" w:rsidRDefault="005D6FC8" w:rsidP="008956FC">
      <w:pPr>
        <w:numPr>
          <w:ilvl w:val="2"/>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there is no change to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w:t>
      </w:r>
    </w:p>
    <w:p w14:paraId="2F2B4E6D" w14:textId="376192E1" w:rsidR="006231A0" w:rsidRPr="008956FC" w:rsidRDefault="005D6FC8" w:rsidP="008956FC">
      <w:pPr>
        <w:numPr>
          <w:ilvl w:val="0"/>
          <w:numId w:val="3"/>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sz w:val="24"/>
          <w:szCs w:val="24"/>
        </w:rPr>
        <w:t>Persistent</w:t>
      </w:r>
      <w:r>
        <w:rPr>
          <w:rFonts w:ascii="Arial" w:eastAsia="Arial" w:hAnsi="Arial" w:cs="Arial"/>
          <w:b/>
          <w:color w:val="000000"/>
          <w:sz w:val="24"/>
          <w:szCs w:val="24"/>
        </w:rPr>
        <w:t xml:space="preserve"> KPI</w:t>
      </w:r>
      <w:r w:rsidRPr="008956FC">
        <w:rPr>
          <w:rFonts w:ascii="Arial" w:hAnsi="Arial" w:hint="eastAsia"/>
          <w:b/>
          <w:color w:val="000000"/>
          <w:sz w:val="24"/>
        </w:rPr>
        <w:t xml:space="preserve"> Failure</w:t>
      </w:r>
    </w:p>
    <w:p w14:paraId="2B6C673E" w14:textId="354CA04C" w:rsidR="006231A0" w:rsidRPr="008956FC" w:rsidRDefault="005D6FC8" w:rsidP="008956FC">
      <w:pPr>
        <w:pBdr>
          <w:top w:val="nil"/>
          <w:left w:val="nil"/>
          <w:bottom w:val="nil"/>
          <w:right w:val="nil"/>
          <w:between w:val="nil"/>
        </w:pBdr>
        <w:spacing w:before="120" w:after="120" w:line="240" w:lineRule="auto"/>
        <w:ind w:left="936" w:hanging="576"/>
        <w:rPr>
          <w:rFonts w:ascii="Arial" w:hAnsi="Arial"/>
          <w:color w:val="000000"/>
          <w:sz w:val="24"/>
        </w:rPr>
      </w:pPr>
      <w:r w:rsidRPr="008956FC">
        <w:rPr>
          <w:rFonts w:ascii="Arial" w:hAnsi="Arial"/>
          <w:color w:val="000000"/>
          <w:sz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w:t>
      </w:r>
      <w:r w:rsidRPr="008956FC">
        <w:rPr>
          <w:rFonts w:ascii="Arial" w:hAnsi="Arial"/>
          <w:color w:val="000000"/>
          <w:sz w:val="24"/>
        </w:rPr>
        <w:t xml:space="preserve"> Failure:</w:t>
      </w:r>
    </w:p>
    <w:p w14:paraId="78C17F79" w14:textId="57AE664A"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any </w:t>
      </w:r>
      <w:r>
        <w:rPr>
          <w:rFonts w:ascii="Arial" w:eastAsia="Arial" w:hAnsi="Arial" w:cs="Arial"/>
          <w:color w:val="000000"/>
          <w:sz w:val="24"/>
          <w:szCs w:val="24"/>
        </w:rPr>
        <w:t>KPI</w:t>
      </w:r>
      <w:r w:rsidRPr="008956FC">
        <w:rPr>
          <w:rFonts w:ascii="Arial" w:hAnsi="Arial"/>
          <w:color w:val="000000"/>
          <w:sz w:val="24"/>
        </w:rPr>
        <w:t xml:space="preserve"> Credits that would otherwise have accrued during the relevant Service Period shall not accrue; and</w:t>
      </w:r>
    </w:p>
    <w:p w14:paraId="32444FE0" w14:textId="34FBA244" w:rsidR="006231A0" w:rsidRPr="008956FC" w:rsidRDefault="005D6FC8" w:rsidP="008956FC">
      <w:pPr>
        <w:numPr>
          <w:ilvl w:val="1"/>
          <w:numId w:val="3"/>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Buyer shall be entitled to withhold and retain as compensation a sum equal to any Charges</w:t>
      </w:r>
      <w:r>
        <w:rPr>
          <w:rFonts w:ascii="Arial" w:eastAsia="Arial" w:hAnsi="Arial" w:cs="Arial"/>
          <w:color w:val="000000"/>
          <w:sz w:val="24"/>
          <w:szCs w:val="24"/>
        </w:rPr>
        <w:t xml:space="preserve"> relating to the Persistent KPI Failure</w:t>
      </w:r>
      <w:r w:rsidRPr="008956FC">
        <w:rPr>
          <w:rFonts w:ascii="Arial" w:hAnsi="Arial"/>
          <w:color w:val="000000"/>
          <w:sz w:val="24"/>
        </w:rPr>
        <w:t xml:space="preserve"> which would otherwise have been due to the Supplier in respect of that Service Period ("</w:t>
      </w:r>
      <w:r w:rsidRPr="008956FC">
        <w:rPr>
          <w:rFonts w:ascii="Arial" w:hAnsi="Arial"/>
          <w:b/>
          <w:color w:val="000000"/>
          <w:sz w:val="24"/>
        </w:rPr>
        <w:t xml:space="preserve">Compensation for </w:t>
      </w:r>
      <w:r>
        <w:rPr>
          <w:rFonts w:ascii="Arial" w:eastAsia="Arial" w:hAnsi="Arial" w:cs="Arial"/>
          <w:b/>
          <w:color w:val="000000"/>
          <w:sz w:val="24"/>
          <w:szCs w:val="24"/>
        </w:rPr>
        <w:t>Persistent KPI</w:t>
      </w:r>
      <w:r w:rsidRPr="008956FC">
        <w:rPr>
          <w:rFonts w:ascii="Arial" w:hAnsi="Arial"/>
          <w:b/>
          <w:color w:val="000000"/>
          <w:sz w:val="24"/>
        </w:rPr>
        <w:t xml:space="preserve"> Failure</w:t>
      </w:r>
      <w:r w:rsidRPr="008956FC">
        <w:rPr>
          <w:rFonts w:ascii="Arial" w:hAnsi="Arial"/>
          <w:color w:val="000000"/>
          <w:sz w:val="24"/>
        </w:rPr>
        <w:t>"),</w:t>
      </w:r>
    </w:p>
    <w:p w14:paraId="01B9153A" w14:textId="348CDEC6" w:rsidR="006231A0" w:rsidRPr="008956FC" w:rsidRDefault="005D6FC8" w:rsidP="008956FC">
      <w:pPr>
        <w:pBdr>
          <w:top w:val="nil"/>
          <w:left w:val="nil"/>
          <w:bottom w:val="nil"/>
          <w:right w:val="nil"/>
          <w:between w:val="nil"/>
        </w:pBdr>
        <w:tabs>
          <w:tab w:val="left" w:pos="3402"/>
        </w:tabs>
        <w:spacing w:after="220" w:line="240" w:lineRule="auto"/>
        <w:ind w:left="720"/>
        <w:rPr>
          <w:rFonts w:ascii="Arial" w:hAnsi="Arial"/>
          <w:color w:val="000000"/>
          <w:sz w:val="24"/>
        </w:rPr>
      </w:pPr>
      <w:r w:rsidRPr="008956FC">
        <w:rPr>
          <w:rFonts w:ascii="Arial" w:hAnsi="Arial"/>
          <w:color w:val="000000"/>
          <w:sz w:val="24"/>
        </w:rPr>
        <w:t xml:space="preserve">provided that the operation of this paragraph </w:t>
      </w:r>
      <w:r>
        <w:rPr>
          <w:rFonts w:ascii="Arial" w:eastAsia="Arial" w:hAnsi="Arial" w:cs="Arial"/>
          <w:color w:val="000000"/>
          <w:sz w:val="24"/>
          <w:szCs w:val="24"/>
        </w:rPr>
        <w:t>3</w:t>
      </w:r>
      <w:r w:rsidRPr="008956FC">
        <w:rPr>
          <w:rFonts w:ascii="Arial" w:hAnsi="Arial"/>
          <w:color w:val="000000"/>
          <w:sz w:val="24"/>
        </w:rPr>
        <w:t xml:space="preserve"> shall be without prejudice to the right of the Buyer to terminate this Contract and/or to claim damages from the Supplier for material Default.</w:t>
      </w:r>
    </w:p>
    <w:p w14:paraId="3470052C" w14:textId="77777777" w:rsidR="006231A0" w:rsidRPr="008956FC" w:rsidRDefault="006231A0" w:rsidP="008956FC">
      <w:pPr>
        <w:keepNext/>
        <w:pBdr>
          <w:top w:val="nil"/>
          <w:left w:val="nil"/>
          <w:bottom w:val="nil"/>
          <w:right w:val="nil"/>
          <w:between w:val="nil"/>
        </w:pBdr>
        <w:spacing w:after="240" w:line="240" w:lineRule="auto"/>
        <w:rPr>
          <w:rFonts w:ascii="Arial" w:hAnsi="Arial"/>
          <w:color w:val="000000"/>
          <w:sz w:val="36"/>
        </w:rPr>
      </w:pPr>
      <w:bookmarkStart w:id="4" w:name="_heading=h.1fob9te" w:colFirst="0" w:colLast="0"/>
      <w:bookmarkEnd w:id="4"/>
    </w:p>
    <w:p w14:paraId="48833E2E" w14:textId="54172AB3" w:rsidR="006231A0" w:rsidRPr="008956FC" w:rsidRDefault="005D6FC8" w:rsidP="008956FC">
      <w:pPr>
        <w:keepNext/>
        <w:pBdr>
          <w:top w:val="nil"/>
          <w:left w:val="nil"/>
          <w:bottom w:val="nil"/>
          <w:right w:val="nil"/>
          <w:between w:val="nil"/>
        </w:pBdr>
        <w:spacing w:after="240" w:line="240" w:lineRule="auto"/>
        <w:rPr>
          <w:rFonts w:ascii="Arial" w:hAnsi="Arial"/>
          <w:caps/>
          <w:color w:val="000000"/>
          <w:sz w:val="36"/>
        </w:rPr>
      </w:pPr>
      <w:r w:rsidRPr="008956FC">
        <w:rPr>
          <w:rFonts w:ascii="Arial" w:hAnsi="Arial" w:hint="eastAsia"/>
          <w:b/>
          <w:color w:val="000000"/>
          <w:sz w:val="36"/>
        </w:rPr>
        <w:t xml:space="preserve">Part A: </w:t>
      </w:r>
      <w:r>
        <w:rPr>
          <w:rFonts w:ascii="Arial" w:eastAsia="Arial" w:hAnsi="Arial" w:cs="Arial"/>
          <w:b/>
          <w:color w:val="000000"/>
          <w:sz w:val="36"/>
          <w:szCs w:val="36"/>
        </w:rPr>
        <w:t>KPIs</w:t>
      </w:r>
      <w:r w:rsidRPr="008956FC">
        <w:rPr>
          <w:rFonts w:ascii="Arial" w:hAnsi="Arial" w:hint="eastAsia"/>
          <w:b/>
          <w:color w:val="000000"/>
          <w:sz w:val="36"/>
        </w:rPr>
        <w:t xml:space="preserve"> and </w:t>
      </w:r>
      <w:r>
        <w:rPr>
          <w:rFonts w:ascii="Arial" w:eastAsia="Arial" w:hAnsi="Arial" w:cs="Arial"/>
          <w:b/>
          <w:color w:val="000000"/>
          <w:sz w:val="36"/>
          <w:szCs w:val="36"/>
        </w:rPr>
        <w:t>KPI</w:t>
      </w:r>
      <w:r w:rsidRPr="008956FC">
        <w:rPr>
          <w:rFonts w:ascii="Arial" w:hAnsi="Arial" w:hint="eastAsia"/>
          <w:b/>
          <w:color w:val="000000"/>
          <w:sz w:val="36"/>
        </w:rPr>
        <w:t xml:space="preserve"> Credits </w:t>
      </w:r>
    </w:p>
    <w:p w14:paraId="6DF54958" w14:textId="77777777" w:rsidR="006231A0" w:rsidRDefault="005D6FC8">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14:paraId="760B9E9D"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t>If the level of performance of the Supplier:</w:t>
      </w:r>
    </w:p>
    <w:p w14:paraId="36D0F1BC" w14:textId="56597DE4"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is likely to or fails to meet any </w:t>
      </w:r>
      <w:r>
        <w:rPr>
          <w:rFonts w:ascii="Arial" w:eastAsia="Arial" w:hAnsi="Arial" w:cs="Arial"/>
          <w:color w:val="000000"/>
          <w:sz w:val="24"/>
          <w:szCs w:val="24"/>
        </w:rPr>
        <w:t>KPI</w:t>
      </w:r>
      <w:r w:rsidRPr="008956FC">
        <w:rPr>
          <w:rFonts w:ascii="Arial" w:hAnsi="Arial"/>
          <w:color w:val="000000"/>
          <w:sz w:val="24"/>
        </w:rPr>
        <w:t xml:space="preserve"> Performance Measure; or</w:t>
      </w:r>
    </w:p>
    <w:p w14:paraId="08D68727" w14:textId="423F7DED"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is likely to cause or causes a </w:t>
      </w:r>
      <w:r>
        <w:rPr>
          <w:rFonts w:ascii="Arial" w:eastAsia="Arial" w:hAnsi="Arial" w:cs="Arial"/>
          <w:color w:val="000000"/>
          <w:sz w:val="24"/>
          <w:szCs w:val="24"/>
        </w:rPr>
        <w:t>Persistent</w:t>
      </w:r>
      <w:r w:rsidRPr="008956FC">
        <w:rPr>
          <w:rFonts w:ascii="Arial" w:hAnsi="Arial"/>
          <w:color w:val="000000"/>
          <w:sz w:val="24"/>
        </w:rPr>
        <w:t xml:space="preserve"> Service Failure to occur, </w:t>
      </w:r>
    </w:p>
    <w:p w14:paraId="290B8C15" w14:textId="77777777" w:rsidR="006231A0" w:rsidRPr="008956FC" w:rsidRDefault="005D6FC8" w:rsidP="008956FC">
      <w:pPr>
        <w:pBdr>
          <w:top w:val="nil"/>
          <w:left w:val="nil"/>
          <w:bottom w:val="nil"/>
          <w:right w:val="nil"/>
          <w:between w:val="nil"/>
        </w:pBdr>
        <w:spacing w:before="120" w:after="120" w:line="240" w:lineRule="auto"/>
        <w:ind w:left="720" w:hanging="576"/>
        <w:rPr>
          <w:rFonts w:ascii="Arial" w:hAnsi="Arial"/>
          <w:color w:val="000000"/>
          <w:sz w:val="24"/>
        </w:rPr>
      </w:pPr>
      <w:r w:rsidRPr="008956FC">
        <w:rPr>
          <w:rFonts w:ascii="Arial" w:hAnsi="Arial"/>
          <w:color w:val="000000"/>
          <w:sz w:val="24"/>
        </w:rPr>
        <w:lastRenderedPageBreak/>
        <w:t>the Supplier shall immediately notify the Buyer in writing and the Buyer, in its absolute discretion and without limiting any other of its rights, may:</w:t>
      </w:r>
    </w:p>
    <w:p w14:paraId="3B09BBD9" w14:textId="50DDA969"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require the Supplier to immediately take all </w:t>
      </w:r>
      <w:r>
        <w:rPr>
          <w:rFonts w:ascii="Arial" w:eastAsia="Arial" w:hAnsi="Arial" w:cs="Arial"/>
          <w:color w:val="000000"/>
          <w:sz w:val="24"/>
          <w:szCs w:val="24"/>
        </w:rPr>
        <w:t xml:space="preserve">preventative and/or </w:t>
      </w:r>
      <w:r w:rsidRPr="008956FC">
        <w:rPr>
          <w:rFonts w:ascii="Arial" w:hAnsi="Arial"/>
          <w:color w:val="000000"/>
          <w:sz w:val="24"/>
        </w:rPr>
        <w:t xml:space="preserve">remedial action that is reasonable to mitigate the impact on the Buyer and to rectify or prevent a </w:t>
      </w:r>
      <w:r>
        <w:rPr>
          <w:rFonts w:ascii="Arial" w:eastAsia="Arial" w:hAnsi="Arial" w:cs="Arial"/>
          <w:color w:val="000000"/>
          <w:sz w:val="24"/>
          <w:szCs w:val="24"/>
        </w:rPr>
        <w:t>KPI</w:t>
      </w:r>
      <w:r w:rsidRPr="008956FC">
        <w:rPr>
          <w:rFonts w:ascii="Arial" w:hAnsi="Arial"/>
          <w:color w:val="000000"/>
          <w:sz w:val="24"/>
        </w:rPr>
        <w:t xml:space="preserve"> Failure or </w:t>
      </w:r>
      <w:r>
        <w:rPr>
          <w:rFonts w:ascii="Arial" w:eastAsia="Arial" w:hAnsi="Arial" w:cs="Arial"/>
          <w:color w:val="000000"/>
          <w:sz w:val="24"/>
          <w:szCs w:val="24"/>
        </w:rPr>
        <w:t>Persistent KPI</w:t>
      </w:r>
      <w:r w:rsidRPr="008956FC">
        <w:rPr>
          <w:rFonts w:ascii="Arial" w:hAnsi="Arial"/>
          <w:color w:val="000000"/>
          <w:sz w:val="24"/>
        </w:rPr>
        <w:t xml:space="preserve"> Failure from taking place or recurring; </w:t>
      </w:r>
    </w:p>
    <w:p w14:paraId="7F7852D6" w14:textId="77777777"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instruct the Supplier to comply with the Rectification Plan Process; </w:t>
      </w:r>
    </w:p>
    <w:p w14:paraId="460EE83C" w14:textId="6C73335F"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KPI</w:t>
      </w:r>
      <w:r w:rsidRPr="008956FC">
        <w:rPr>
          <w:rFonts w:ascii="Arial" w:hAnsi="Arial"/>
          <w:color w:val="000000"/>
          <w:sz w:val="24"/>
        </w:rPr>
        <w:t xml:space="preserve"> Failure has occurred, deduct the applicable </w:t>
      </w:r>
      <w:r>
        <w:rPr>
          <w:rFonts w:ascii="Arial" w:eastAsia="Arial" w:hAnsi="Arial" w:cs="Arial"/>
          <w:color w:val="000000"/>
          <w:sz w:val="24"/>
          <w:szCs w:val="24"/>
        </w:rPr>
        <w:t>KPI</w:t>
      </w:r>
      <w:r w:rsidRPr="008956FC">
        <w:rPr>
          <w:rFonts w:ascii="Arial" w:hAnsi="Arial"/>
          <w:color w:val="000000"/>
          <w:sz w:val="24"/>
        </w:rPr>
        <w:t xml:space="preserve"> Credits payable by the Supplier to the Buyer; and/or</w:t>
      </w:r>
    </w:p>
    <w:p w14:paraId="44F00F74" w14:textId="3F8D8F8A" w:rsidR="006231A0" w:rsidRPr="008956FC" w:rsidRDefault="005D6FC8" w:rsidP="008956FC">
      <w:pPr>
        <w:numPr>
          <w:ilvl w:val="2"/>
          <w:numId w:val="2"/>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if a </w:t>
      </w:r>
      <w:r>
        <w:rPr>
          <w:rFonts w:ascii="Arial" w:eastAsia="Arial" w:hAnsi="Arial" w:cs="Arial"/>
          <w:color w:val="000000"/>
          <w:sz w:val="24"/>
          <w:szCs w:val="24"/>
        </w:rPr>
        <w:t>Persistent KPI</w:t>
      </w:r>
      <w:r w:rsidRPr="008956FC">
        <w:rPr>
          <w:rFonts w:ascii="Arial" w:hAnsi="Arial"/>
          <w:color w:val="000000"/>
          <w:sz w:val="24"/>
        </w:rPr>
        <w:t xml:space="preserve"> Failure has occurred, exercise its right to Compensation for </w:t>
      </w:r>
      <w:r>
        <w:rPr>
          <w:rFonts w:ascii="Arial" w:eastAsia="Arial" w:hAnsi="Arial" w:cs="Arial"/>
          <w:color w:val="000000"/>
          <w:sz w:val="24"/>
          <w:szCs w:val="24"/>
        </w:rPr>
        <w:t>Persistent KPI</w:t>
      </w:r>
      <w:r w:rsidRPr="008956FC">
        <w:rPr>
          <w:rFonts w:ascii="Arial" w:hAnsi="Arial"/>
          <w:color w:val="000000"/>
          <w:sz w:val="24"/>
        </w:rPr>
        <w:t xml:space="preserve"> Failure (including the right to terminate for material Default).</w:t>
      </w:r>
    </w:p>
    <w:p w14:paraId="488D9DD2" w14:textId="34C8659E" w:rsidR="006231A0" w:rsidRPr="008956FC" w:rsidRDefault="005D6FC8" w:rsidP="008956FC">
      <w:pPr>
        <w:numPr>
          <w:ilvl w:val="0"/>
          <w:numId w:val="1"/>
        </w:numPr>
        <w:pBdr>
          <w:top w:val="nil"/>
          <w:left w:val="nil"/>
          <w:bottom w:val="nil"/>
          <w:right w:val="nil"/>
          <w:between w:val="nil"/>
        </w:pBdr>
        <w:tabs>
          <w:tab w:val="left" w:pos="142"/>
        </w:tabs>
        <w:spacing w:before="240" w:after="120" w:line="240" w:lineRule="auto"/>
        <w:rPr>
          <w:rFonts w:ascii="Arial" w:hAnsi="Arial"/>
          <w:caps/>
          <w:color w:val="000000"/>
          <w:sz w:val="24"/>
        </w:rPr>
      </w:pPr>
      <w:r>
        <w:rPr>
          <w:rFonts w:ascii="Arial" w:eastAsia="Arial" w:hAnsi="Arial" w:cs="Arial"/>
          <w:b/>
          <w:color w:val="000000"/>
          <w:sz w:val="24"/>
          <w:szCs w:val="24"/>
        </w:rPr>
        <w:t>KPI</w:t>
      </w:r>
      <w:r w:rsidRPr="008956FC">
        <w:rPr>
          <w:rFonts w:ascii="Arial" w:hAnsi="Arial" w:hint="eastAsia"/>
          <w:b/>
          <w:color w:val="000000"/>
          <w:sz w:val="24"/>
        </w:rPr>
        <w:t xml:space="preserve"> Credits</w:t>
      </w:r>
    </w:p>
    <w:p w14:paraId="7BEC6278" w14:textId="06EF38FE" w:rsidR="006231A0" w:rsidRPr="008956FC" w:rsidRDefault="005D6FC8" w:rsidP="008956FC">
      <w:pPr>
        <w:numPr>
          <w:ilvl w:val="1"/>
          <w:numId w:val="1"/>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shall use the Performance Monitoring Reports supplied by the Supplier to verify the calculation and accuracy of the </w:t>
      </w:r>
      <w:r>
        <w:rPr>
          <w:rFonts w:ascii="Arial" w:eastAsia="Arial" w:hAnsi="Arial" w:cs="Arial"/>
          <w:color w:val="000000"/>
          <w:sz w:val="24"/>
          <w:szCs w:val="24"/>
        </w:rPr>
        <w:t>KPI</w:t>
      </w:r>
      <w:r w:rsidRPr="008956FC">
        <w:rPr>
          <w:rFonts w:ascii="Arial" w:hAnsi="Arial"/>
          <w:color w:val="000000"/>
          <w:sz w:val="24"/>
        </w:rPr>
        <w:t xml:space="preserve"> Credits, if any, applicable to each Service Period.</w:t>
      </w:r>
    </w:p>
    <w:p w14:paraId="368A85FD" w14:textId="29AA2D31" w:rsidR="006231A0" w:rsidRDefault="005D6FC8" w:rsidP="008956FC">
      <w:pPr>
        <w:numPr>
          <w:ilvl w:val="1"/>
          <w:numId w:val="1"/>
        </w:numPr>
        <w:pBdr>
          <w:top w:val="nil"/>
          <w:left w:val="nil"/>
          <w:bottom w:val="nil"/>
          <w:right w:val="nil"/>
          <w:between w:val="nil"/>
        </w:pBdr>
        <w:spacing w:before="120" w:after="120" w:line="240" w:lineRule="auto"/>
        <w:rPr>
          <w:rFonts w:ascii="Arial" w:eastAsia="Arial" w:hAnsi="Arial"/>
          <w:sz w:val="24"/>
          <w:szCs w:val="24"/>
        </w:rPr>
      </w:pPr>
      <w:r>
        <w:rPr>
          <w:rFonts w:ascii="Arial" w:eastAsia="Arial" w:hAnsi="Arial" w:cs="Arial"/>
          <w:color w:val="000000"/>
          <w:sz w:val="24"/>
          <w:szCs w:val="24"/>
        </w:rPr>
        <w:t>KPI</w:t>
      </w:r>
      <w:r w:rsidRPr="008956FC">
        <w:rPr>
          <w:rFonts w:ascii="Arial" w:hAnsi="Arial"/>
          <w:color w:val="000000"/>
          <w:sz w:val="24"/>
        </w:rPr>
        <w:t xml:space="preserve">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w:t>
      </w:r>
      <w:r w:rsidRPr="008956FC">
        <w:rPr>
          <w:rFonts w:ascii="Arial" w:hAnsi="Arial"/>
          <w:color w:val="000000"/>
          <w:sz w:val="24"/>
        </w:rPr>
        <w:t xml:space="preserve">the value of any </w:t>
      </w:r>
      <w:r>
        <w:rPr>
          <w:rFonts w:ascii="Arial" w:eastAsia="Arial" w:hAnsi="Arial" w:cs="Arial"/>
          <w:color w:val="000000"/>
          <w:sz w:val="24"/>
          <w:szCs w:val="24"/>
        </w:rPr>
        <w:t>KPI</w:t>
      </w:r>
      <w:r w:rsidRPr="008956FC">
        <w:rPr>
          <w:rFonts w:ascii="Arial" w:hAnsi="Arial"/>
          <w:color w:val="000000"/>
          <w:sz w:val="24"/>
        </w:rPr>
        <w:t xml:space="preserve"> Credits against the appropriate invoice in accordance with </w:t>
      </w:r>
      <w:r>
        <w:rPr>
          <w:rFonts w:ascii="Arial" w:eastAsia="Arial" w:hAnsi="Arial" w:cs="Arial"/>
          <w:sz w:val="24"/>
          <w:szCs w:val="24"/>
        </w:rPr>
        <w:t xml:space="preserve">the relevant </w:t>
      </w:r>
      <w:r w:rsidRPr="008956FC">
        <w:rPr>
          <w:rFonts w:ascii="Arial" w:hAnsi="Arial"/>
          <w:color w:val="000000"/>
          <w:sz w:val="24"/>
        </w:rPr>
        <w:t xml:space="preserve">calculation formula </w:t>
      </w:r>
      <w:r>
        <w:rPr>
          <w:rFonts w:ascii="Arial" w:eastAsia="Arial" w:hAnsi="Arial" w:cs="Arial"/>
          <w:color w:val="000000"/>
          <w:sz w:val="24"/>
          <w:szCs w:val="24"/>
        </w:rPr>
        <w:t>below</w:t>
      </w:r>
      <w:r>
        <w:rPr>
          <w:rFonts w:ascii="Arial" w:eastAsia="Arial" w:hAnsi="Arial" w:cs="Arial"/>
          <w:sz w:val="24"/>
          <w:szCs w:val="24"/>
        </w:rPr>
        <w:t xml:space="preserve">. </w:t>
      </w:r>
    </w:p>
    <w:p w14:paraId="7B430011" w14:textId="00946E8C"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14:paraId="54667F1D"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14:paraId="7B276DF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 shall be calculated in accordance with Section 2 - Calculation of Monthly Value at Risk,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2B1EB2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14:paraId="6E96218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shall be calculated as follows: for each KPI Category, the At Risk Amount shall be apportioned to it in accordance with the KPI Category Weightings in the column headed KPI Weighting in the KPI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14:paraId="109168B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14:paraId="356B6709"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that applies to the KPI Category in which the relevant KPI resides, shall be further apportioned in accordance with the KPI Measure Weightings in the column 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14:paraId="745C9856"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14:paraId="1F4D13CE"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KPI Credit to be applied to a KPI in a Service Period for a KPI Failure shall be calculated in accordance with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14:paraId="6AFD835A"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14:paraId="1AA4F268" w14:textId="77777777" w:rsidR="006231A0" w:rsidRDefault="005D6FC8">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14:paraId="44F44A09"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14:paraId="6AC9155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14:paraId="3F444475"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14:paraId="3903099B"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14:paraId="449455A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14:paraId="09A5BE8F"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Calc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14:paraId="368C28D9"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14:paraId="3A07EFD0"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14:paraId="5D87D661"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 (refer to table 1 in 4.4.3).</w:t>
      </w:r>
    </w:p>
    <w:p w14:paraId="3F381C95"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Illustration of Ratchets to be applied in table form;</w:t>
      </w:r>
    </w:p>
    <w:tbl>
      <w:tblPr>
        <w:tblStyle w:val="affd"/>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6231A0" w14:paraId="343D9623" w14:textId="77777777">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14:paraId="66AD55B2" w14:textId="77777777" w:rsidR="006231A0" w:rsidRDefault="005D6FC8">
            <w:pPr>
              <w:rPr>
                <w:rFonts w:ascii="Arial" w:eastAsia="Arial" w:hAnsi="Arial" w:cs="Arial"/>
                <w:b/>
                <w:color w:val="000000"/>
              </w:rPr>
            </w:pPr>
            <w:r>
              <w:rPr>
                <w:rFonts w:ascii="Arial" w:eastAsia="Arial" w:hAnsi="Arial" w:cs="Arial"/>
                <w:b/>
                <w:color w:val="000000"/>
              </w:rPr>
              <w:lastRenderedPageBreak/>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14:paraId="22BD7824" w14:textId="77777777" w:rsidR="006231A0" w:rsidRDefault="005D6FC8">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14:paraId="59B6B4D3" w14:textId="77777777" w:rsidR="006231A0" w:rsidRDefault="005D6FC8">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14:paraId="5143E1E3" w14:textId="77777777" w:rsidR="006231A0" w:rsidRDefault="005D6FC8">
            <w:pPr>
              <w:jc w:val="center"/>
              <w:rPr>
                <w:rFonts w:ascii="Arial" w:eastAsia="Arial" w:hAnsi="Arial" w:cs="Arial"/>
                <w:b/>
                <w:color w:val="000000"/>
              </w:rPr>
            </w:pPr>
            <w:r>
              <w:rPr>
                <w:rFonts w:ascii="Arial" w:eastAsia="Arial" w:hAnsi="Arial" w:cs="Arial"/>
                <w:b/>
                <w:color w:val="000000"/>
              </w:rPr>
              <w:t>Failure over a 12 Month Rolling Period</w:t>
            </w:r>
          </w:p>
        </w:tc>
      </w:tr>
      <w:tr w:rsidR="006231A0" w14:paraId="51E612A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39B579EF" w14:textId="77777777" w:rsidR="006231A0" w:rsidRDefault="005D6FC8">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14:paraId="021388AA" w14:textId="77777777" w:rsidR="006231A0" w:rsidRDefault="005D6FC8">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426E9622" w14:textId="77777777" w:rsidR="006231A0" w:rsidRDefault="005D6FC8">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27826EEC" w14:textId="77777777" w:rsidR="006231A0" w:rsidRDefault="005D6FC8">
            <w:pPr>
              <w:jc w:val="center"/>
              <w:rPr>
                <w:rFonts w:ascii="Arial" w:eastAsia="Arial" w:hAnsi="Arial" w:cs="Arial"/>
                <w:color w:val="000000"/>
              </w:rPr>
            </w:pPr>
            <w:r>
              <w:rPr>
                <w:rFonts w:ascii="Arial" w:eastAsia="Arial" w:hAnsi="Arial" w:cs="Arial"/>
                <w:color w:val="000000"/>
              </w:rPr>
              <w:t> </w:t>
            </w:r>
          </w:p>
        </w:tc>
      </w:tr>
      <w:tr w:rsidR="006231A0" w14:paraId="01E0BEFC"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02674082" w14:textId="77777777" w:rsidR="006231A0" w:rsidRDefault="005D6FC8">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14:paraId="4E225D8B" w14:textId="77777777" w:rsidR="006231A0" w:rsidRDefault="005D6FC8">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76B7EAF"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11E7BA3F" w14:textId="77777777" w:rsidR="006231A0" w:rsidRDefault="005D6FC8">
            <w:pPr>
              <w:jc w:val="center"/>
              <w:rPr>
                <w:rFonts w:ascii="Arial" w:eastAsia="Arial" w:hAnsi="Arial" w:cs="Arial"/>
                <w:color w:val="000000"/>
              </w:rPr>
            </w:pPr>
            <w:r>
              <w:rPr>
                <w:rFonts w:ascii="Arial" w:eastAsia="Arial" w:hAnsi="Arial" w:cs="Arial"/>
                <w:color w:val="000000"/>
              </w:rPr>
              <w:t>3</w:t>
            </w:r>
          </w:p>
        </w:tc>
      </w:tr>
      <w:tr w:rsidR="006231A0" w14:paraId="74E81FC6" w14:textId="77777777">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14:paraId="260B7096" w14:textId="77777777" w:rsidR="006231A0" w:rsidRDefault="005D6FC8">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14:paraId="1FEAF653" w14:textId="77777777" w:rsidR="006231A0" w:rsidRDefault="005D6FC8">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14:paraId="13F891BE" w14:textId="77777777" w:rsidR="006231A0" w:rsidRDefault="005D6FC8">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14:paraId="41FBD35B" w14:textId="77777777" w:rsidR="006231A0" w:rsidRDefault="005D6FC8">
            <w:pPr>
              <w:jc w:val="center"/>
              <w:rPr>
                <w:rFonts w:ascii="Arial" w:eastAsia="Arial" w:hAnsi="Arial" w:cs="Arial"/>
                <w:color w:val="000000"/>
              </w:rPr>
            </w:pPr>
            <w:r>
              <w:rPr>
                <w:rFonts w:ascii="Arial" w:eastAsia="Arial" w:hAnsi="Arial" w:cs="Arial"/>
                <w:color w:val="000000"/>
              </w:rPr>
              <w:t>4,5</w:t>
            </w:r>
          </w:p>
        </w:tc>
      </w:tr>
      <w:tr w:rsidR="006231A0" w14:paraId="544A0948" w14:textId="77777777">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14:paraId="0817E758" w14:textId="77777777" w:rsidR="006231A0" w:rsidRDefault="005D6FC8">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14:paraId="1812CA8D" w14:textId="77777777" w:rsidR="006231A0" w:rsidRDefault="005D6FC8">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14:paraId="23F143D0" w14:textId="77777777" w:rsidR="006231A0" w:rsidRDefault="005D6FC8">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14:paraId="79C34C10" w14:textId="77777777" w:rsidR="006231A0" w:rsidRDefault="005D6FC8">
            <w:pPr>
              <w:jc w:val="center"/>
              <w:rPr>
                <w:rFonts w:ascii="Arial" w:eastAsia="Arial" w:hAnsi="Arial" w:cs="Arial"/>
                <w:color w:val="000000"/>
              </w:rPr>
            </w:pPr>
            <w:r>
              <w:rPr>
                <w:rFonts w:ascii="Arial" w:eastAsia="Arial" w:hAnsi="Arial" w:cs="Arial"/>
                <w:color w:val="000000"/>
              </w:rPr>
              <w:t>6,7,8,9,10,11,12</w:t>
            </w:r>
          </w:p>
        </w:tc>
      </w:tr>
    </w:tbl>
    <w:p w14:paraId="3752F895" w14:textId="77777777" w:rsidR="006231A0" w:rsidRDefault="006231A0">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14:paraId="0517356A"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14:paraId="6668C958"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14:paraId="5D012AC1"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14:paraId="10D21CA3"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Category; and</w:t>
      </w:r>
    </w:p>
    <w:p w14:paraId="67A1499E" w14:textId="77777777" w:rsidR="006231A0" w:rsidRDefault="005D6FC8">
      <w:pPr>
        <w:numPr>
          <w:ilvl w:val="2"/>
          <w:numId w:val="1"/>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14:paraId="3192194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14:paraId="4CE07B5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14:paraId="5AE82ABE"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14:paraId="17BCA413" w14:textId="77777777" w:rsidR="006231A0" w:rsidRDefault="005D6FC8">
      <w:pPr>
        <w:numPr>
          <w:ilvl w:val="0"/>
          <w:numId w:val="1"/>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14:paraId="3AEF39B4"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14:paraId="06858F3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14:paraId="4CD36514" w14:textId="77777777" w:rsidR="006231A0" w:rsidRDefault="005D6FC8">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Service Periods in the immediately preceding twelve (12) Service Periods.</w:t>
      </w:r>
    </w:p>
    <w:p w14:paraId="64D98A07" w14:textId="77777777" w:rsidR="006231A0" w:rsidRDefault="005D6FC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14:paraId="08911F9D"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p>
    <w:p w14:paraId="6060E3B4" w14:textId="77777777" w:rsidR="006231A0" w:rsidRDefault="006231A0">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14:paraId="000C5613" w14:textId="26FF9400" w:rsidR="006231A0" w:rsidRDefault="005D6FC8">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sidR="00352497">
        <w:rPr>
          <w:rFonts w:ascii="Arial" w:eastAsia="Arial" w:hAnsi="Arial" w:cs="Arial"/>
          <w:b/>
          <w:color w:val="000000"/>
          <w:sz w:val="36"/>
          <w:szCs w:val="36"/>
        </w:rPr>
        <w:t>A</w:t>
      </w:r>
      <w:r>
        <w:rPr>
          <w:rFonts w:ascii="Arial" w:eastAsia="Arial" w:hAnsi="Arial" w:cs="Arial"/>
          <w:b/>
          <w:color w:val="000000"/>
          <w:sz w:val="36"/>
          <w:szCs w:val="36"/>
        </w:rPr>
        <w:t xml:space="preserve">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14:paraId="0AC2BEEE" w14:textId="39A05CBA" w:rsidR="006231A0" w:rsidRDefault="006231A0">
      <w:pPr>
        <w:pBdr>
          <w:top w:val="nil"/>
          <w:left w:val="nil"/>
          <w:bottom w:val="nil"/>
          <w:right w:val="nil"/>
          <w:between w:val="nil"/>
        </w:pBdr>
        <w:spacing w:before="120" w:after="120" w:line="240" w:lineRule="auto"/>
        <w:rPr>
          <w:rFonts w:ascii="Arial" w:eastAsia="Arial" w:hAnsi="Arial" w:cs="Arial"/>
        </w:rPr>
      </w:pPr>
      <w:bookmarkStart w:id="17" w:name="_heading=h.3dy6vkm" w:colFirst="0" w:colLast="0"/>
      <w:bookmarkEnd w:id="17"/>
    </w:p>
    <w:p w14:paraId="6C235480" w14:textId="58DE3B64" w:rsidR="006231A0" w:rsidRDefault="005D6FC8">
      <w:pPr>
        <w:pBdr>
          <w:top w:val="nil"/>
          <w:left w:val="nil"/>
          <w:bottom w:val="nil"/>
          <w:right w:val="nil"/>
          <w:between w:val="nil"/>
        </w:pBdr>
        <w:spacing w:before="120" w:after="120" w:line="240" w:lineRule="auto"/>
        <w:rPr>
          <w:rFonts w:ascii="Arial" w:eastAsia="Arial" w:hAnsi="Arial" w:cs="Arial"/>
        </w:rPr>
      </w:pPr>
      <w:bookmarkStart w:id="18" w:name="_heading=h.4d34og8" w:colFirst="0" w:colLast="0"/>
      <w:bookmarkEnd w:id="18"/>
      <w:r>
        <w:rPr>
          <w:rFonts w:ascii="Arial" w:eastAsia="Arial" w:hAnsi="Arial" w:cs="Arial"/>
        </w:rPr>
        <w:t xml:space="preserve">     </w:t>
      </w:r>
      <w:r w:rsidR="000753B6">
        <w:rPr>
          <w:rFonts w:ascii="Arial" w:eastAsia="Arial" w:hAnsi="Arial" w:cs="Arial"/>
        </w:rPr>
        <w:object w:dxaOrig="1504" w:dyaOrig="982" w14:anchorId="60995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713856295" r:id="rId10"/>
        </w:object>
      </w:r>
    </w:p>
    <w:p w14:paraId="226D9A8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61CCFED5" w14:textId="758C2D32" w:rsidR="006231A0" w:rsidRPr="005015A2" w:rsidRDefault="005015A2">
      <w:pPr>
        <w:pBdr>
          <w:top w:val="nil"/>
          <w:left w:val="nil"/>
          <w:bottom w:val="nil"/>
          <w:right w:val="nil"/>
          <w:between w:val="nil"/>
        </w:pBdr>
        <w:spacing w:before="120" w:after="120" w:line="240" w:lineRule="auto"/>
        <w:rPr>
          <w:rFonts w:ascii="Arial" w:eastAsia="Arial" w:hAnsi="Arial" w:cs="Arial"/>
          <w:b/>
          <w:color w:val="000000"/>
          <w:sz w:val="36"/>
          <w:szCs w:val="36"/>
        </w:rPr>
      </w:pPr>
      <w:r>
        <w:rPr>
          <w:rFonts w:ascii="Arial" w:eastAsia="Arial" w:hAnsi="Arial" w:cs="Arial"/>
          <w:b/>
          <w:color w:val="000000"/>
          <w:sz w:val="36"/>
          <w:szCs w:val="36"/>
        </w:rPr>
        <w:t>Annex</w:t>
      </w:r>
      <w:r w:rsidRPr="00AC7947">
        <w:rPr>
          <w:rFonts w:ascii="Arial" w:eastAsia="Arial" w:hAnsi="Arial" w:cs="Arial"/>
          <w:b/>
          <w:color w:val="000000"/>
          <w:sz w:val="36"/>
          <w:szCs w:val="36"/>
        </w:rPr>
        <w:t xml:space="preserve"> </w:t>
      </w:r>
      <w:r>
        <w:rPr>
          <w:rFonts w:ascii="Arial" w:eastAsia="Arial" w:hAnsi="Arial" w:cs="Arial"/>
          <w:b/>
          <w:color w:val="000000"/>
          <w:sz w:val="36"/>
          <w:szCs w:val="36"/>
        </w:rPr>
        <w:t xml:space="preserve">B </w:t>
      </w:r>
      <w:r>
        <w:rPr>
          <w:rFonts w:ascii="Arial" w:eastAsia="Arial" w:hAnsi="Arial" w:cs="Arial"/>
          <w:b/>
          <w:color w:val="000000"/>
          <w:sz w:val="36"/>
          <w:szCs w:val="36"/>
        </w:rPr>
        <w:t xml:space="preserve">to Part A – </w:t>
      </w:r>
      <w:r>
        <w:rPr>
          <w:rFonts w:ascii="Arial" w:eastAsia="Arial" w:hAnsi="Arial" w:cs="Arial"/>
          <w:b/>
          <w:color w:val="000000"/>
          <w:sz w:val="36"/>
          <w:szCs w:val="36"/>
        </w:rPr>
        <w:t>Publishable KPI’s</w:t>
      </w:r>
    </w:p>
    <w:p w14:paraId="10592585"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4701279F" w14:textId="7CC9F05C" w:rsidR="006231A0" w:rsidRPr="00A21FE8" w:rsidRDefault="005015A2">
      <w:pPr>
        <w:pBdr>
          <w:top w:val="nil"/>
          <w:left w:val="nil"/>
          <w:bottom w:val="nil"/>
          <w:right w:val="nil"/>
          <w:between w:val="nil"/>
        </w:pBdr>
        <w:spacing w:before="120" w:after="120" w:line="240" w:lineRule="auto"/>
        <w:rPr>
          <w:rFonts w:ascii="Arial" w:eastAsia="Arial" w:hAnsi="Arial" w:cs="Arial"/>
          <w:sz w:val="24"/>
          <w:szCs w:val="24"/>
        </w:rPr>
      </w:pPr>
      <w:r w:rsidRPr="00A21FE8">
        <w:rPr>
          <w:rFonts w:ascii="Arial" w:hAnsi="Arial" w:cs="Arial"/>
          <w:color w:val="222222"/>
          <w:sz w:val="24"/>
          <w:szCs w:val="24"/>
          <w:shd w:val="clear" w:color="auto" w:fill="FFFFFF"/>
        </w:rPr>
        <w:t>[</w:t>
      </w:r>
      <w:r w:rsidRPr="00A21FE8">
        <w:rPr>
          <w:rFonts w:ascii="Arial" w:hAnsi="Arial" w:cs="Arial"/>
          <w:b/>
          <w:bCs/>
          <w:color w:val="222222"/>
          <w:sz w:val="24"/>
          <w:szCs w:val="24"/>
          <w:shd w:val="clear" w:color="auto" w:fill="FFFF00"/>
        </w:rPr>
        <w:t>Guidance Note: </w:t>
      </w:r>
      <w:r w:rsidRPr="00A21FE8">
        <w:rPr>
          <w:rFonts w:ascii="Arial" w:hAnsi="Arial" w:cs="Arial"/>
          <w:color w:val="222222"/>
          <w:sz w:val="24"/>
          <w:szCs w:val="24"/>
          <w:shd w:val="clear" w:color="auto" w:fill="FFFFFF"/>
        </w:rPr>
        <w:t xml:space="preserve"> In line with the </w:t>
      </w:r>
      <w:hyperlink r:id="rId11" w:tgtFrame="_blank" w:history="1">
        <w:r w:rsidRPr="00A21FE8">
          <w:rPr>
            <w:rStyle w:val="Hyperlink"/>
            <w:rFonts w:ascii="Arial" w:hAnsi="Arial" w:cs="Arial"/>
            <w:sz w:val="24"/>
            <w:szCs w:val="24"/>
            <w:shd w:val="clear" w:color="auto" w:fill="FFFFFF"/>
          </w:rPr>
          <w:t>Sourcing Playbook</w:t>
        </w:r>
      </w:hyperlink>
      <w:r w:rsidRPr="00A21FE8">
        <w:rPr>
          <w:rFonts w:ascii="Arial" w:hAnsi="Arial" w:cs="Arial"/>
          <w:color w:val="222222"/>
          <w:sz w:val="24"/>
          <w:szCs w:val="24"/>
          <w:shd w:val="clear" w:color="auto" w:fill="FFFFFF"/>
        </w:rPr>
        <w:t>,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w:t>
      </w:r>
      <w:r w:rsidRPr="00A21FE8">
        <w:rPr>
          <w:rFonts w:ascii="Arial" w:hAnsi="Arial" w:cs="Arial"/>
          <w:bCs/>
          <w:sz w:val="24"/>
          <w:szCs w:val="24"/>
          <w:shd w:val="clear" w:color="auto" w:fill="FFFFFF"/>
        </w:rPr>
        <w:t xml:space="preserve">use this Annex </w:t>
      </w:r>
      <w:r w:rsidR="00E943A7">
        <w:rPr>
          <w:rFonts w:ascii="Arial" w:hAnsi="Arial" w:cs="Arial"/>
          <w:bCs/>
          <w:sz w:val="24"/>
          <w:szCs w:val="24"/>
          <w:shd w:val="clear" w:color="auto" w:fill="FFFFFF"/>
        </w:rPr>
        <w:t xml:space="preserve">B </w:t>
      </w:r>
      <w:r w:rsidRPr="00A21FE8">
        <w:rPr>
          <w:rFonts w:ascii="Arial" w:hAnsi="Arial" w:cs="Arial"/>
          <w:bCs/>
          <w:sz w:val="24"/>
          <w:szCs w:val="24"/>
          <w:shd w:val="clear" w:color="auto" w:fill="FFFFFF"/>
        </w:rPr>
        <w:t>to clearly</w:t>
      </w:r>
      <w:r w:rsidRPr="00A21FE8">
        <w:rPr>
          <w:rFonts w:ascii="Arial" w:hAnsi="Arial" w:cs="Arial"/>
          <w:sz w:val="24"/>
          <w:szCs w:val="24"/>
          <w:shd w:val="clear" w:color="auto" w:fill="FFFFFF"/>
        </w:rPr>
        <w:t> indicate which </w:t>
      </w:r>
      <w:r w:rsidRPr="00A21FE8">
        <w:rPr>
          <w:rFonts w:ascii="Arial" w:hAnsi="Arial" w:cs="Arial"/>
          <w:bCs/>
          <w:sz w:val="24"/>
          <w:szCs w:val="24"/>
          <w:shd w:val="clear" w:color="auto" w:fill="FFFFFF"/>
        </w:rPr>
        <w:t>KPIs</w:t>
      </w:r>
      <w:r w:rsidRPr="00A21FE8">
        <w:rPr>
          <w:rFonts w:ascii="Arial" w:hAnsi="Arial" w:cs="Arial"/>
          <w:sz w:val="24"/>
          <w:szCs w:val="24"/>
          <w:shd w:val="clear" w:color="auto" w:fill="FFFFFF"/>
        </w:rPr>
        <w:t> are publishable</w:t>
      </w:r>
      <w:r w:rsidRPr="00A21FE8">
        <w:rPr>
          <w:rFonts w:ascii="Arial" w:hAnsi="Arial" w:cs="Arial"/>
          <w:sz w:val="24"/>
          <w:szCs w:val="24"/>
          <w:shd w:val="clear" w:color="auto" w:fill="FFFFFF"/>
        </w:rPr>
        <w:t>.</w:t>
      </w:r>
    </w:p>
    <w:p w14:paraId="1D782ADE" w14:textId="77B96C32" w:rsidR="006231A0" w:rsidRPr="00A21FE8" w:rsidRDefault="006231A0">
      <w:pPr>
        <w:pBdr>
          <w:top w:val="nil"/>
          <w:left w:val="nil"/>
          <w:bottom w:val="nil"/>
          <w:right w:val="nil"/>
          <w:between w:val="nil"/>
        </w:pBdr>
        <w:spacing w:before="120" w:after="120" w:line="240" w:lineRule="auto"/>
        <w:rPr>
          <w:rFonts w:ascii="Arial" w:eastAsia="Arial" w:hAnsi="Arial" w:cs="Arial"/>
          <w:sz w:val="24"/>
          <w:szCs w:val="24"/>
        </w:rPr>
      </w:pPr>
    </w:p>
    <w:p w14:paraId="2A327903" w14:textId="77777777" w:rsidR="006231A0" w:rsidRDefault="006231A0" w:rsidP="00057822">
      <w:pPr>
        <w:pBdr>
          <w:top w:val="nil"/>
          <w:left w:val="nil"/>
          <w:bottom w:val="nil"/>
          <w:right w:val="nil"/>
          <w:between w:val="nil"/>
        </w:pBdr>
        <w:spacing w:before="120" w:after="120" w:line="240" w:lineRule="auto"/>
        <w:rPr>
          <w:rFonts w:ascii="Arial" w:eastAsia="Arial" w:hAnsi="Arial" w:cs="Arial"/>
        </w:rPr>
      </w:pPr>
    </w:p>
    <w:p w14:paraId="6D593411" w14:textId="77777777" w:rsidR="006231A0" w:rsidRDefault="006231A0">
      <w:pPr>
        <w:pBdr>
          <w:top w:val="nil"/>
          <w:left w:val="nil"/>
          <w:bottom w:val="nil"/>
          <w:right w:val="nil"/>
          <w:between w:val="nil"/>
        </w:pBdr>
        <w:spacing w:before="120" w:after="120" w:line="240" w:lineRule="auto"/>
        <w:rPr>
          <w:rFonts w:ascii="Arial" w:eastAsia="Arial" w:hAnsi="Arial" w:cs="Arial"/>
        </w:rPr>
      </w:pPr>
    </w:p>
    <w:p w14:paraId="122F5110" w14:textId="77777777" w:rsidR="006231A0" w:rsidRPr="008956FC" w:rsidRDefault="005D6FC8" w:rsidP="008956FC">
      <w:pPr>
        <w:pBdr>
          <w:top w:val="nil"/>
          <w:left w:val="nil"/>
          <w:bottom w:val="nil"/>
          <w:right w:val="nil"/>
          <w:between w:val="nil"/>
        </w:pBdr>
        <w:spacing w:before="120" w:after="120" w:line="240" w:lineRule="auto"/>
        <w:rPr>
          <w:rFonts w:ascii="Arial" w:hAnsi="Arial"/>
          <w:caps/>
        </w:rPr>
      </w:pPr>
      <w:r w:rsidRPr="008956FC">
        <w:rPr>
          <w:rFonts w:ascii="Arial" w:hAnsi="Arial" w:hint="eastAsia"/>
          <w:b/>
          <w:color w:val="000000"/>
          <w:sz w:val="36"/>
        </w:rPr>
        <w:t xml:space="preserve">Part B: Performance Monitoring </w:t>
      </w:r>
    </w:p>
    <w:p w14:paraId="3C45810B"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Performance Monitoring and Performance Review</w:t>
      </w:r>
    </w:p>
    <w:p w14:paraId="51745F9B" w14:textId="596197BF"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Within twenty (20) Working Days of the Start Date the Supplier shall provide the Buyer with details of how the process in respect of the monitoring and reporting of </w:t>
      </w:r>
      <w:r>
        <w:rPr>
          <w:rFonts w:ascii="Arial" w:eastAsia="Arial" w:hAnsi="Arial" w:cs="Arial"/>
          <w:color w:val="000000"/>
          <w:sz w:val="24"/>
          <w:szCs w:val="24"/>
        </w:rPr>
        <w:t>KPIs</w:t>
      </w:r>
      <w:r w:rsidRPr="008956FC">
        <w:rPr>
          <w:rFonts w:ascii="Arial" w:hAnsi="Arial"/>
          <w:color w:val="000000"/>
          <w:sz w:val="24"/>
        </w:rPr>
        <w:t xml:space="preserve"> will operate between the Parties and the Parties will endeavour to agree such process as soon as reasonably possible.</w:t>
      </w:r>
    </w:p>
    <w:p w14:paraId="7884AAA0" w14:textId="10075EA5"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the Buyer with performance monitoring reports </w:t>
      </w:r>
      <w:r>
        <w:rPr>
          <w:rFonts w:ascii="Arial" w:eastAsia="Arial" w:hAnsi="Arial" w:cs="Arial"/>
          <w:color w:val="000000"/>
          <w:sz w:val="24"/>
          <w:szCs w:val="24"/>
        </w:rPr>
        <w:t xml:space="preserve">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sidRPr="008956FC">
        <w:rPr>
          <w:rFonts w:ascii="Arial" w:hAnsi="Arial"/>
          <w:color w:val="000000"/>
          <w:sz w:val="24"/>
        </w:rPr>
        <w:t>("</w:t>
      </w:r>
      <w:r w:rsidRPr="008956FC">
        <w:rPr>
          <w:rFonts w:ascii="Arial" w:hAnsi="Arial"/>
          <w:b/>
          <w:color w:val="000000"/>
          <w:sz w:val="24"/>
        </w:rPr>
        <w:t>Performance Monitoring Reports</w:t>
      </w:r>
      <w:r w:rsidRPr="008956FC">
        <w:rPr>
          <w:rFonts w:ascii="Arial" w:hAnsi="Arial"/>
          <w:color w:val="000000"/>
          <w:sz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w:t>
      </w:r>
      <w:r w:rsidRPr="008956FC">
        <w:rPr>
          <w:rFonts w:ascii="Arial" w:hAnsi="Arial"/>
          <w:color w:val="000000"/>
          <w:sz w:val="24"/>
        </w:rPr>
        <w:t xml:space="preserve"> of Part B of this Schedule which shall contain, as a minimum, the following information in respect of the relevant Service Period just ended:</w:t>
      </w:r>
    </w:p>
    <w:p w14:paraId="1492BCDB" w14:textId="2FFDCB6E"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each </w:t>
      </w:r>
      <w:r>
        <w:rPr>
          <w:rFonts w:ascii="Arial" w:eastAsia="Arial" w:hAnsi="Arial" w:cs="Arial"/>
          <w:color w:val="000000"/>
          <w:sz w:val="24"/>
          <w:szCs w:val="24"/>
        </w:rPr>
        <w:t>KPI</w:t>
      </w:r>
      <w:r w:rsidRPr="008956FC">
        <w:rPr>
          <w:rFonts w:ascii="Arial" w:hAnsi="Arial"/>
          <w:color w:val="000000"/>
          <w:sz w:val="24"/>
        </w:rPr>
        <w:t xml:space="preserve">, the actual performance achieved over the </w:t>
      </w:r>
      <w:r>
        <w:rPr>
          <w:rFonts w:ascii="Arial" w:eastAsia="Arial" w:hAnsi="Arial" w:cs="Arial"/>
          <w:color w:val="000000"/>
          <w:sz w:val="24"/>
          <w:szCs w:val="24"/>
        </w:rPr>
        <w:t>KPI</w:t>
      </w:r>
      <w:r w:rsidRPr="008956FC">
        <w:rPr>
          <w:rFonts w:ascii="Arial" w:hAnsi="Arial"/>
          <w:color w:val="000000"/>
          <w:sz w:val="24"/>
        </w:rPr>
        <w:t xml:space="preserve"> for the relevant Service Period;</w:t>
      </w:r>
    </w:p>
    <w:p w14:paraId="5C63D36E" w14:textId="36720631"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a summary of all failures to achieve </w:t>
      </w:r>
      <w:r>
        <w:rPr>
          <w:rFonts w:ascii="Arial" w:eastAsia="Arial" w:hAnsi="Arial" w:cs="Arial"/>
          <w:color w:val="000000"/>
          <w:sz w:val="24"/>
          <w:szCs w:val="24"/>
        </w:rPr>
        <w:t>KPIs</w:t>
      </w:r>
      <w:r w:rsidRPr="008956FC">
        <w:rPr>
          <w:rFonts w:ascii="Arial" w:hAnsi="Arial"/>
          <w:color w:val="000000"/>
          <w:sz w:val="24"/>
        </w:rPr>
        <w:t xml:space="preserve"> that occurred during that Service Period;</w:t>
      </w:r>
    </w:p>
    <w:p w14:paraId="7CB313CD" w14:textId="4F64475D"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details of any </w:t>
      </w:r>
      <w:r>
        <w:rPr>
          <w:rFonts w:ascii="Arial" w:eastAsia="Arial" w:hAnsi="Arial" w:cs="Arial"/>
          <w:color w:val="000000"/>
          <w:sz w:val="24"/>
          <w:szCs w:val="24"/>
        </w:rPr>
        <w:t>Persistent KPI</w:t>
      </w:r>
      <w:r w:rsidRPr="008956FC">
        <w:rPr>
          <w:rFonts w:ascii="Arial" w:hAnsi="Arial"/>
          <w:color w:val="000000"/>
          <w:sz w:val="24"/>
        </w:rPr>
        <w:t xml:space="preserve"> Failures;</w:t>
      </w:r>
    </w:p>
    <w:p w14:paraId="7D0B8E70" w14:textId="5512922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for any </w:t>
      </w:r>
      <w:r>
        <w:rPr>
          <w:rFonts w:ascii="Arial" w:eastAsia="Arial" w:hAnsi="Arial" w:cs="Arial"/>
          <w:color w:val="000000"/>
          <w:sz w:val="24"/>
          <w:szCs w:val="24"/>
        </w:rPr>
        <w:t>Persistent</w:t>
      </w:r>
      <w:r w:rsidRPr="008956FC">
        <w:rPr>
          <w:rFonts w:ascii="Arial" w:hAnsi="Arial"/>
          <w:color w:val="000000"/>
          <w:sz w:val="24"/>
        </w:rPr>
        <w:t xml:space="preserve"> failures, actions taken to resolve the underlying cause and prevent recurrence;</w:t>
      </w:r>
    </w:p>
    <w:p w14:paraId="3F645F57" w14:textId="14466D38"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lastRenderedPageBreak/>
        <w:t xml:space="preserve">the </w:t>
      </w:r>
      <w:r>
        <w:rPr>
          <w:rFonts w:ascii="Arial" w:eastAsia="Arial" w:hAnsi="Arial" w:cs="Arial"/>
          <w:color w:val="000000"/>
          <w:sz w:val="24"/>
          <w:szCs w:val="24"/>
        </w:rPr>
        <w:t>KPI</w:t>
      </w:r>
      <w:r w:rsidRPr="008956FC">
        <w:rPr>
          <w:rFonts w:ascii="Arial" w:hAnsi="Arial"/>
          <w:color w:val="000000"/>
          <w:sz w:val="24"/>
        </w:rPr>
        <w:t xml:space="preserve"> Credits to be applied in respect of the relevant </w:t>
      </w:r>
      <w:r>
        <w:rPr>
          <w:rFonts w:ascii="Arial" w:eastAsia="Arial" w:hAnsi="Arial" w:cs="Arial"/>
          <w:color w:val="000000"/>
          <w:sz w:val="24"/>
          <w:szCs w:val="24"/>
        </w:rPr>
        <w:t>Service Period</w:t>
      </w:r>
      <w:r w:rsidRPr="008956FC">
        <w:rPr>
          <w:rFonts w:ascii="Arial" w:hAnsi="Arial"/>
          <w:color w:val="000000"/>
          <w:sz w:val="24"/>
        </w:rPr>
        <w:t xml:space="preserve"> indicating the </w:t>
      </w:r>
      <w:r>
        <w:rPr>
          <w:rFonts w:ascii="Arial" w:eastAsia="Arial" w:hAnsi="Arial" w:cs="Arial"/>
          <w:color w:val="000000"/>
          <w:sz w:val="24"/>
          <w:szCs w:val="24"/>
        </w:rPr>
        <w:t>KPI Failures</w:t>
      </w:r>
      <w:r w:rsidRPr="008956FC">
        <w:rPr>
          <w:rFonts w:ascii="Arial" w:hAnsi="Arial"/>
          <w:color w:val="000000"/>
          <w:sz w:val="24"/>
        </w:rPr>
        <w:t xml:space="preserve"> and </w:t>
      </w:r>
      <w:r>
        <w:rPr>
          <w:rFonts w:ascii="Arial" w:eastAsia="Arial" w:hAnsi="Arial" w:cs="Arial"/>
          <w:color w:val="000000"/>
          <w:sz w:val="24"/>
          <w:szCs w:val="24"/>
        </w:rPr>
        <w:t>KPIs</w:t>
      </w:r>
      <w:r w:rsidRPr="008956FC">
        <w:rPr>
          <w:rFonts w:ascii="Arial" w:hAnsi="Arial"/>
          <w:color w:val="000000"/>
          <w:sz w:val="24"/>
        </w:rPr>
        <w:t xml:space="preserve"> to which the </w:t>
      </w:r>
      <w:r>
        <w:rPr>
          <w:rFonts w:ascii="Arial" w:eastAsia="Arial" w:hAnsi="Arial" w:cs="Arial"/>
          <w:color w:val="000000"/>
          <w:sz w:val="24"/>
          <w:szCs w:val="24"/>
        </w:rPr>
        <w:t>KPI</w:t>
      </w:r>
      <w:r w:rsidRPr="008956FC">
        <w:rPr>
          <w:rFonts w:ascii="Arial" w:hAnsi="Arial"/>
          <w:color w:val="000000"/>
          <w:sz w:val="24"/>
        </w:rPr>
        <w:t xml:space="preserve"> Credits relate; and</w:t>
      </w:r>
    </w:p>
    <w:p w14:paraId="08AA61CD"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such other details as the Buyer may reasonably require from time to time.</w:t>
      </w:r>
    </w:p>
    <w:p w14:paraId="0B76BD1C" w14:textId="77777777" w:rsidR="006231A0" w:rsidRPr="008956FC" w:rsidRDefault="005D6FC8" w:rsidP="008956FC">
      <w:pPr>
        <w:keepNext/>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Parties shall attend meetings to discuss Performance Monitoring Reports ("</w:t>
      </w:r>
      <w:r w:rsidRPr="008956FC">
        <w:rPr>
          <w:rFonts w:ascii="Arial" w:hAnsi="Arial"/>
          <w:b/>
          <w:color w:val="000000"/>
          <w:sz w:val="24"/>
        </w:rPr>
        <w:t>Performance Review Meetings</w:t>
      </w:r>
      <w:r w:rsidRPr="008956FC">
        <w:rPr>
          <w:rFonts w:ascii="Arial" w:hAnsi="Arial"/>
          <w:color w:val="000000"/>
          <w:sz w:val="24"/>
        </w:rPr>
        <w:t>") on a Monthly basis. The Performance Review Meetings will be the forum for the review by the Supplier and the Buyer of the Performance Monitoring Reports.  The Performance Review Meetings shall:</w:t>
      </w:r>
    </w:p>
    <w:p w14:paraId="65418129"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take place within one (1) week of the Performance Monitoring Reports being issued by the Supplier at such location and time (within normal business hours) as the Buyer shall reasonably require;</w:t>
      </w:r>
    </w:p>
    <w:p w14:paraId="1D04DF42"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be attended by the Supplier's Representative and the Buyer’s Representative; and</w:t>
      </w:r>
    </w:p>
    <w:p w14:paraId="5EF5A6E4" w14:textId="77777777" w:rsidR="006231A0" w:rsidRPr="008956FC" w:rsidRDefault="005D6FC8" w:rsidP="008956FC">
      <w:pPr>
        <w:numPr>
          <w:ilvl w:val="2"/>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be fully minuted by the Supplier and the minutes will be circulated by the Supplier to all attendees at the relevant meeting and also to the Buyer’s Representative and any other recipients agreed at the relevant meeting.  </w:t>
      </w:r>
    </w:p>
    <w:p w14:paraId="11105059" w14:textId="77777777"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The minutes of the preceding Month's Performance Review Meeting will be agreed and signed by both the Supplier's Representative and the Buyer’s Representative at each meeting.</w:t>
      </w:r>
    </w:p>
    <w:p w14:paraId="39E71FCD" w14:textId="6CD8C6C5"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Supplier shall provide to the Buyer such documentation as the Buyer may reasonably require in order to verify the level of the performance by the Supplier and the calculations of the amount of </w:t>
      </w:r>
      <w:r>
        <w:rPr>
          <w:rFonts w:ascii="Arial" w:eastAsia="Arial" w:hAnsi="Arial" w:cs="Arial"/>
          <w:color w:val="000000"/>
          <w:sz w:val="24"/>
          <w:szCs w:val="24"/>
        </w:rPr>
        <w:t>KPI</w:t>
      </w:r>
      <w:r w:rsidRPr="008956FC">
        <w:rPr>
          <w:rFonts w:ascii="Arial" w:hAnsi="Arial"/>
          <w:color w:val="000000"/>
          <w:sz w:val="24"/>
        </w:rPr>
        <w:t xml:space="preserve"> Credits for any specified Service Period.</w:t>
      </w:r>
    </w:p>
    <w:p w14:paraId="72BBE186" w14:textId="77777777" w:rsidR="006231A0" w:rsidRPr="008956FC" w:rsidRDefault="006231A0" w:rsidP="008956FC">
      <w:pPr>
        <w:pBdr>
          <w:top w:val="nil"/>
          <w:left w:val="nil"/>
          <w:bottom w:val="nil"/>
          <w:right w:val="nil"/>
          <w:between w:val="nil"/>
        </w:pBdr>
        <w:spacing w:before="120" w:after="120" w:line="240" w:lineRule="auto"/>
        <w:ind w:left="1440" w:hanging="576"/>
        <w:rPr>
          <w:rFonts w:ascii="Arial" w:hAnsi="Arial"/>
          <w:color w:val="000000"/>
          <w:sz w:val="24"/>
        </w:rPr>
      </w:pPr>
    </w:p>
    <w:p w14:paraId="2CC7BAA8" w14:textId="77777777" w:rsidR="006231A0" w:rsidRPr="008956FC" w:rsidRDefault="005D6FC8" w:rsidP="008956FC">
      <w:pPr>
        <w:numPr>
          <w:ilvl w:val="0"/>
          <w:numId w:val="4"/>
        </w:numPr>
        <w:pBdr>
          <w:top w:val="nil"/>
          <w:left w:val="nil"/>
          <w:bottom w:val="nil"/>
          <w:right w:val="nil"/>
          <w:between w:val="nil"/>
        </w:pBdr>
        <w:tabs>
          <w:tab w:val="left" w:pos="142"/>
        </w:tabs>
        <w:spacing w:before="240" w:after="120" w:line="240" w:lineRule="auto"/>
        <w:rPr>
          <w:rFonts w:ascii="Arial" w:hAnsi="Arial"/>
          <w:caps/>
          <w:color w:val="000000"/>
          <w:sz w:val="24"/>
        </w:rPr>
      </w:pPr>
      <w:r w:rsidRPr="008956FC">
        <w:rPr>
          <w:rFonts w:ascii="Arial" w:hAnsi="Arial" w:hint="eastAsia"/>
          <w:b/>
          <w:color w:val="000000"/>
          <w:sz w:val="24"/>
        </w:rPr>
        <w:t>Satisfaction Surveys</w:t>
      </w:r>
    </w:p>
    <w:p w14:paraId="055084F1" w14:textId="534E7411" w:rsidR="006231A0" w:rsidRPr="008956FC" w:rsidRDefault="005D6FC8" w:rsidP="008956FC">
      <w:pPr>
        <w:numPr>
          <w:ilvl w:val="1"/>
          <w:numId w:val="4"/>
        </w:numPr>
        <w:pBdr>
          <w:top w:val="nil"/>
          <w:left w:val="nil"/>
          <w:bottom w:val="nil"/>
          <w:right w:val="nil"/>
          <w:between w:val="nil"/>
        </w:pBdr>
        <w:spacing w:before="120" w:after="120" w:line="240" w:lineRule="auto"/>
        <w:rPr>
          <w:rFonts w:ascii="Arial" w:hAnsi="Arial"/>
          <w:color w:val="000000"/>
          <w:sz w:val="24"/>
        </w:rPr>
      </w:pPr>
      <w:r w:rsidRPr="008956FC">
        <w:rPr>
          <w:rFonts w:ascii="Arial" w:hAnsi="Arial"/>
          <w:color w:val="000000"/>
          <w:sz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w:t>
      </w:r>
      <w:r w:rsidRPr="008956FC">
        <w:rPr>
          <w:rFonts w:ascii="Arial" w:hAnsi="Arial"/>
          <w:color w:val="000000"/>
          <w:sz w:val="24"/>
        </w:rPr>
        <w:t xml:space="preserve"> reasonably suggest are not in accordance with this Contract.</w:t>
      </w:r>
    </w:p>
    <w:p w14:paraId="7D08D715" w14:textId="77777777" w:rsidR="006231A0" w:rsidRPr="008956FC" w:rsidRDefault="006231A0" w:rsidP="008956FC">
      <w:pPr>
        <w:pBdr>
          <w:top w:val="nil"/>
          <w:left w:val="nil"/>
          <w:bottom w:val="nil"/>
          <w:right w:val="nil"/>
          <w:between w:val="nil"/>
        </w:pBdr>
        <w:spacing w:before="120" w:after="120" w:line="240" w:lineRule="auto"/>
        <w:ind w:left="936" w:hanging="576"/>
        <w:jc w:val="both"/>
        <w:rPr>
          <w:rFonts w:ascii="Arial" w:hAnsi="Arial"/>
          <w:color w:val="000000"/>
          <w:sz w:val="24"/>
        </w:rPr>
      </w:pPr>
      <w:bookmarkStart w:id="19" w:name="_heading=h.30j0zll" w:colFirst="0" w:colLast="0"/>
      <w:bookmarkStart w:id="20" w:name="_Hlt365637504"/>
      <w:bookmarkStart w:id="21" w:name="_Hlt365637641"/>
      <w:bookmarkStart w:id="22" w:name="_Hlt365636904"/>
      <w:bookmarkStart w:id="23" w:name="_Hlt365636907"/>
      <w:bookmarkStart w:id="24" w:name="_Toc349230508"/>
      <w:bookmarkStart w:id="25" w:name="_Toc349230509"/>
      <w:bookmarkStart w:id="26" w:name="_Toc349230615"/>
      <w:bookmarkStart w:id="27" w:name="_Toc349230624"/>
      <w:bookmarkStart w:id="28" w:name="_Toc349230661"/>
      <w:bookmarkStart w:id="29" w:name="_Toc349230715"/>
      <w:bookmarkStart w:id="30" w:name="_Toc349230717"/>
      <w:bookmarkStart w:id="31" w:name="_Toc349231564"/>
      <w:bookmarkStart w:id="32" w:name="_Toc348712421"/>
      <w:bookmarkStart w:id="33" w:name="_Toc348712423"/>
      <w:bookmarkStart w:id="34" w:name="_Toc348712425"/>
      <w:bookmarkStart w:id="35" w:name="_Toc349230720"/>
      <w:bookmarkStart w:id="36" w:name="_Toc349231566"/>
      <w:bookmarkStart w:id="37" w:name="_Toc348712427"/>
      <w:bookmarkStart w:id="38" w:name="_Toc348712429"/>
      <w:bookmarkStart w:id="39" w:name="_Toc349230723"/>
      <w:bookmarkStart w:id="40" w:name="_Toc348712431"/>
      <w:bookmarkStart w:id="41" w:name="_Toc349230725"/>
      <w:bookmarkStart w:id="42" w:name="_Toc349231569"/>
      <w:bookmarkStart w:id="43" w:name="_Toc349230741"/>
      <w:bookmarkStart w:id="44" w:name="_Toc349231585"/>
      <w:bookmarkStart w:id="45" w:name="_Toc349232221"/>
      <w:bookmarkStart w:id="46" w:name="_Toc349230757"/>
      <w:bookmarkStart w:id="47" w:name="_Toc349230765"/>
      <w:bookmarkStart w:id="48" w:name="_Toc349231607"/>
      <w:bookmarkStart w:id="49" w:name="_Toc349232238"/>
      <w:bookmarkStart w:id="50" w:name="_Toc349230785"/>
      <w:bookmarkStart w:id="51" w:name="_Toc349231627"/>
      <w:bookmarkStart w:id="52" w:name="_Toc349230790"/>
      <w:bookmarkStart w:id="53" w:name="_Toc349231632"/>
      <w:bookmarkStart w:id="54" w:name="_Toc349230792"/>
      <w:bookmarkStart w:id="55" w:name="_Toc349230803"/>
      <w:bookmarkStart w:id="56" w:name="_Toc349231642"/>
      <w:bookmarkStart w:id="57" w:name="_Toc349232261"/>
      <w:bookmarkStart w:id="58" w:name="_Toc349230813"/>
      <w:bookmarkStart w:id="59" w:name="_Toc349231652"/>
      <w:bookmarkStart w:id="60" w:name="_Toc349232271"/>
      <w:bookmarkStart w:id="61" w:name="_Toc349230815"/>
      <w:bookmarkStart w:id="62" w:name="_Toc349231654"/>
      <w:bookmarkStart w:id="63" w:name="_Toc349232273"/>
      <w:bookmarkStart w:id="64" w:name="_Toc349230822"/>
      <w:bookmarkStart w:id="65" w:name="_Toc349231661"/>
      <w:bookmarkStart w:id="66" w:name="_Toc349232279"/>
      <w:bookmarkStart w:id="67" w:name="_Toc349230832"/>
      <w:bookmarkStart w:id="68" w:name="_Toc348712442"/>
      <w:bookmarkStart w:id="69" w:name="_Toc349230834"/>
      <w:bookmarkStart w:id="70" w:name="_Toc349231671"/>
      <w:bookmarkStart w:id="71" w:name="_Toc349230841"/>
      <w:bookmarkStart w:id="72" w:name="_Toc349231678"/>
      <w:bookmarkStart w:id="73" w:name="_Toc349232291"/>
      <w:bookmarkStart w:id="74" w:name="_Toc349230869"/>
      <w:bookmarkStart w:id="75" w:name="_Toc348712444"/>
      <w:bookmarkStart w:id="76" w:name="_Toc348712446"/>
      <w:bookmarkStart w:id="77" w:name="_Toc348712448"/>
      <w:bookmarkStart w:id="78" w:name="_Toc349230895"/>
      <w:bookmarkStart w:id="79" w:name="_Toc349231722"/>
      <w:bookmarkStart w:id="80" w:name="_Toc349230912"/>
      <w:bookmarkStart w:id="81" w:name="_Toc349230938"/>
      <w:bookmarkStart w:id="82" w:name="_Toc349231748"/>
      <w:bookmarkStart w:id="83" w:name="_Toc348712500"/>
      <w:bookmarkStart w:id="84" w:name="_Toc349231028"/>
      <w:bookmarkStart w:id="85" w:name="_Toc349231805"/>
      <w:bookmarkStart w:id="86" w:name="_Toc348712594"/>
      <w:bookmarkStart w:id="87" w:name="_Toc349231076"/>
      <w:bookmarkStart w:id="88" w:name="_Toc349231179"/>
      <w:bookmarkStart w:id="89" w:name="_Toc349231185"/>
      <w:bookmarkStart w:id="90" w:name="_Toc348712710"/>
      <w:bookmarkStart w:id="91" w:name="_Toc348712716"/>
      <w:bookmarkStart w:id="92" w:name="_Toc34923120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ectPr w:rsidR="006231A0" w:rsidRPr="008956FC" w:rsidSect="008956F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ADF9" w14:textId="77777777" w:rsidR="00581ED1" w:rsidRDefault="00581ED1">
      <w:pPr>
        <w:spacing w:after="0" w:line="240" w:lineRule="auto"/>
      </w:pPr>
      <w:r>
        <w:separator/>
      </w:r>
    </w:p>
  </w:endnote>
  <w:endnote w:type="continuationSeparator" w:id="0">
    <w:p w14:paraId="01166A4A" w14:textId="77777777" w:rsidR="00581ED1" w:rsidRDefault="00581ED1">
      <w:pPr>
        <w:spacing w:after="0" w:line="240" w:lineRule="auto"/>
      </w:pPr>
      <w:r>
        <w:continuationSeparator/>
      </w:r>
    </w:p>
  </w:endnote>
  <w:endnote w:type="continuationNotice" w:id="1">
    <w:p w14:paraId="7717BCC8" w14:textId="77777777" w:rsidR="00581ED1" w:rsidRDefault="00581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69F1"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5D39B" w14:textId="77777777" w:rsidR="006231A0" w:rsidRDefault="006231A0" w:rsidP="008956FC">
    <w:pPr>
      <w:tabs>
        <w:tab w:val="center" w:pos="4513"/>
        <w:tab w:val="right" w:pos="9026"/>
      </w:tabs>
      <w:spacing w:after="0" w:line="240" w:lineRule="auto"/>
      <w:jc w:val="both"/>
    </w:pPr>
  </w:p>
  <w:p w14:paraId="23D3C50A" w14:textId="24E4C336"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Framework Ref: </w:t>
    </w:r>
    <w:r>
      <w:rPr>
        <w:rFonts w:ascii="Arial" w:eastAsia="Arial" w:hAnsi="Arial" w:cs="Arial"/>
        <w:color w:val="000000"/>
        <w:sz w:val="20"/>
        <w:szCs w:val="20"/>
      </w:rPr>
      <w:t>RM6</w:t>
    </w:r>
    <w:r w:rsidR="00AC7947">
      <w:rPr>
        <w:rFonts w:ascii="Arial" w:eastAsia="Arial" w:hAnsi="Arial" w:cs="Arial"/>
        <w:color w:val="000000"/>
        <w:sz w:val="20"/>
        <w:szCs w:val="20"/>
      </w:rPr>
      <w:t>257</w:t>
    </w:r>
    <w:r>
      <w:t xml:space="preserve">     </w:t>
    </w:r>
  </w:p>
  <w:p w14:paraId="0E3AE169" w14:textId="3B1413F3"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Project Version: </w:t>
    </w:r>
    <w:r>
      <w:rPr>
        <w:rFonts w:ascii="Arial" w:eastAsia="Arial" w:hAnsi="Arial" w:cs="Arial"/>
        <w:color w:val="000000"/>
        <w:sz w:val="20"/>
        <w:szCs w:val="20"/>
      </w:rPr>
      <w:t>v</w:t>
    </w:r>
    <w:r w:rsidR="00E943A7">
      <w:rPr>
        <w:rFonts w:ascii="Arial" w:eastAsia="Arial" w:hAnsi="Arial" w:cs="Arial"/>
        <w:color w:val="000000"/>
        <w:sz w:val="20"/>
        <w:szCs w:val="20"/>
      </w:rPr>
      <w:t>1</w:t>
    </w:r>
    <w:r w:rsidRPr="008956FC">
      <w:rPr>
        <w:rFonts w:ascii="Arial" w:hAnsi="Arial"/>
        <w:color w:val="000000"/>
        <w:sz w:val="20"/>
      </w:rPr>
      <w:t>.0</w:t>
    </w:r>
    <w:r w:rsidRPr="008956FC">
      <w:rPr>
        <w:rFonts w:ascii="Arial" w:hAnsi="Arial"/>
        <w:color w:val="000000"/>
        <w:sz w:val="20"/>
      </w:rPr>
      <w:tab/>
    </w:r>
    <w:r w:rsidRPr="008956FC">
      <w:rPr>
        <w:rFonts w:ascii="Arial" w:hAnsi="Arial"/>
        <w:color w:val="000000"/>
        <w:sz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C794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3E62548" w14:textId="7346B05E"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Model Version: </w:t>
    </w:r>
    <w:r>
      <w:rPr>
        <w:rFonts w:ascii="Arial" w:eastAsia="Arial" w:hAnsi="Arial" w:cs="Arial"/>
        <w:color w:val="000000"/>
        <w:sz w:val="20"/>
        <w:szCs w:val="20"/>
      </w:rPr>
      <w:t>v</w:t>
    </w:r>
    <w:r w:rsidR="008956FC">
      <w:rPr>
        <w:rFonts w:ascii="Arial" w:eastAsia="Arial" w:hAnsi="Arial" w:cs="Arial"/>
        <w:color w:val="000000"/>
        <w:sz w:val="20"/>
        <w:szCs w:val="20"/>
      </w:rPr>
      <w:t xml:space="preserve"> 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04359" w14:textId="77777777" w:rsidR="006231A0" w:rsidRDefault="006231A0" w:rsidP="008956FC">
    <w:pPr>
      <w:tabs>
        <w:tab w:val="center" w:pos="4513"/>
        <w:tab w:val="right" w:pos="9026"/>
      </w:tabs>
      <w:spacing w:after="0" w:line="240" w:lineRule="auto"/>
      <w:jc w:val="both"/>
    </w:pPr>
  </w:p>
  <w:p w14:paraId="7E24825F" w14:textId="77777777"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Framework Ref: RM</w:t>
    </w:r>
    <w:r w:rsidRPr="008956FC">
      <w:rPr>
        <w:rFonts w:ascii="Arial" w:hAnsi="Arial"/>
        <w:color w:val="000000"/>
        <w:sz w:val="20"/>
      </w:rPr>
      <w:tab/>
      <w:t xml:space="preserve">                                           </w:t>
    </w:r>
  </w:p>
  <w:p w14:paraId="59AA7CEF" w14:textId="56F45648"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Project Version: v1.0</w:t>
    </w:r>
    <w:r w:rsidRPr="008956FC">
      <w:rPr>
        <w:rFonts w:ascii="Arial" w:hAnsi="Arial"/>
        <w:color w:val="000000"/>
        <w:sz w:val="20"/>
      </w:rPr>
      <w:tab/>
    </w:r>
    <w:r w:rsidRPr="008956FC">
      <w:rPr>
        <w:rFonts w:ascii="Arial" w:hAnsi="Arial"/>
        <w:color w:val="000000"/>
        <w:sz w:val="20"/>
      </w:rPr>
      <w:tab/>
    </w:r>
    <w:r w:rsidRPr="008956FC">
      <w:rPr>
        <w:rFonts w:ascii="Arial" w:hAnsi="Arial"/>
        <w:color w:val="000000"/>
        <w:sz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C87B191" w14:textId="769EFE9D" w:rsidR="006231A0" w:rsidRPr="008956FC" w:rsidRDefault="005D6FC8" w:rsidP="008956FC">
    <w:pPr>
      <w:pBdr>
        <w:top w:val="nil"/>
        <w:left w:val="nil"/>
        <w:bottom w:val="nil"/>
        <w:right w:val="nil"/>
        <w:between w:val="nil"/>
      </w:pBdr>
      <w:tabs>
        <w:tab w:val="center" w:pos="4513"/>
        <w:tab w:val="right" w:pos="9026"/>
      </w:tabs>
      <w:spacing w:after="0" w:line="240" w:lineRule="auto"/>
      <w:rPr>
        <w:color w:val="000000"/>
      </w:rPr>
    </w:pPr>
    <w:r w:rsidRPr="008956FC">
      <w:rPr>
        <w:rFonts w:ascii="Arial" w:hAnsi="Arial"/>
        <w:color w:val="000000"/>
        <w:sz w:val="20"/>
      </w:rPr>
      <w:t>Model Version: v2.9</w:t>
    </w:r>
    <w:r w:rsidRPr="008956FC">
      <w:rPr>
        <w:rFonts w:ascii="Arial" w:hAnsi="Arial"/>
        <w:color w:val="000000"/>
        <w:sz w:val="20"/>
      </w:rPr>
      <w:tab/>
    </w:r>
    <w:r w:rsidRPr="008956FC">
      <w:rPr>
        <w:rFonts w:ascii="Arial" w:hAnsi="Arial"/>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A5AAC" w14:textId="77777777" w:rsidR="00581ED1" w:rsidRDefault="00581ED1">
      <w:pPr>
        <w:spacing w:after="0" w:line="240" w:lineRule="auto"/>
      </w:pPr>
      <w:r>
        <w:separator/>
      </w:r>
    </w:p>
  </w:footnote>
  <w:footnote w:type="continuationSeparator" w:id="0">
    <w:p w14:paraId="259D1743" w14:textId="77777777" w:rsidR="00581ED1" w:rsidRDefault="00581ED1">
      <w:pPr>
        <w:spacing w:after="0" w:line="240" w:lineRule="auto"/>
      </w:pPr>
      <w:r>
        <w:continuationSeparator/>
      </w:r>
    </w:p>
  </w:footnote>
  <w:footnote w:type="continuationNotice" w:id="1">
    <w:p w14:paraId="03077F77" w14:textId="77777777" w:rsidR="00581ED1" w:rsidRDefault="00581E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300C"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5ED79" w14:textId="1BFD6AFC"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b/>
        <w:color w:val="000000"/>
        <w:sz w:val="20"/>
      </w:rPr>
      <w:t>Call-Off Schedule 14 (</w:t>
    </w:r>
    <w:r>
      <w:rPr>
        <w:rFonts w:ascii="Arial" w:eastAsia="Arial" w:hAnsi="Arial" w:cs="Arial"/>
        <w:b/>
        <w:sz w:val="20"/>
        <w:szCs w:val="20"/>
      </w:rPr>
      <w:t>Key P</w:t>
    </w:r>
    <w:bookmarkStart w:id="93" w:name="_GoBack"/>
    <w:bookmarkEnd w:id="93"/>
    <w:r>
      <w:rPr>
        <w:rFonts w:ascii="Arial" w:eastAsia="Arial" w:hAnsi="Arial" w:cs="Arial"/>
        <w:b/>
        <w:sz w:val="20"/>
        <w:szCs w:val="20"/>
      </w:rPr>
      <w:t>erformance Indicators</w:t>
    </w:r>
    <w:r w:rsidRPr="008956FC">
      <w:rPr>
        <w:rFonts w:ascii="Arial" w:hAnsi="Arial"/>
        <w:b/>
        <w:color w:val="000000"/>
        <w:sz w:val="20"/>
      </w:rPr>
      <w:t>)</w:t>
    </w:r>
  </w:p>
  <w:p w14:paraId="33D42462" w14:textId="77777777"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Call-Off Ref:</w:t>
    </w:r>
  </w:p>
  <w:p w14:paraId="6C848CF4" w14:textId="63FE1126" w:rsidR="006231A0" w:rsidRPr="008956FC" w:rsidRDefault="005D6FC8" w:rsidP="008956FC">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8956FC">
      <w:rPr>
        <w:rFonts w:ascii="Arial" w:hAnsi="Arial"/>
        <w:color w:val="000000"/>
        <w:sz w:val="20"/>
      </w:rPr>
      <w:t xml:space="preserve">Crown Copyright </w:t>
    </w:r>
    <w:r>
      <w:rPr>
        <w:rFonts w:ascii="Arial" w:eastAsia="Arial" w:hAnsi="Arial" w:cs="Arial"/>
        <w:color w:val="000000"/>
        <w:sz w:val="20"/>
        <w:szCs w:val="20"/>
      </w:rPr>
      <w:t>20</w:t>
    </w:r>
    <w:r>
      <w:rPr>
        <w:rFonts w:ascii="Arial" w:eastAsia="Arial" w:hAnsi="Arial" w:cs="Arial"/>
        <w:sz w:val="20"/>
        <w:szCs w:val="20"/>
      </w:rPr>
      <w:t>21</w:t>
    </w:r>
  </w:p>
  <w:p w14:paraId="3420662D"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6F6F" w14:textId="77777777" w:rsidR="006231A0" w:rsidRPr="008956FC" w:rsidRDefault="006231A0" w:rsidP="008956F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B424C96"/>
    <w:multiLevelType w:val="multilevel"/>
    <w:tmpl w:val="AF749ED4"/>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D5D7FEE"/>
    <w:multiLevelType w:val="multilevel"/>
    <w:tmpl w:val="4804370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972688C"/>
    <w:multiLevelType w:val="multilevel"/>
    <w:tmpl w:val="20A6C9E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E9C6B0A"/>
    <w:multiLevelType w:val="multilevel"/>
    <w:tmpl w:val="67BAD2B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5DBF4362"/>
    <w:multiLevelType w:val="multilevel"/>
    <w:tmpl w:val="894C97D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2"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3"/>
  </w:num>
  <w:num w:numId="3">
    <w:abstractNumId w:val="8"/>
  </w:num>
  <w:num w:numId="4">
    <w:abstractNumId w:val="7"/>
  </w:num>
  <w:num w:numId="5">
    <w:abstractNumId w:val="4"/>
  </w:num>
  <w:num w:numId="6">
    <w:abstractNumId w:val="1"/>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12"/>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1A0"/>
    <w:rsid w:val="00033324"/>
    <w:rsid w:val="00057822"/>
    <w:rsid w:val="000654EE"/>
    <w:rsid w:val="000753B6"/>
    <w:rsid w:val="00091B0C"/>
    <w:rsid w:val="000E6EDE"/>
    <w:rsid w:val="002D3D7F"/>
    <w:rsid w:val="00352497"/>
    <w:rsid w:val="003865D1"/>
    <w:rsid w:val="003D59D3"/>
    <w:rsid w:val="003D7FE9"/>
    <w:rsid w:val="0043504D"/>
    <w:rsid w:val="005015A2"/>
    <w:rsid w:val="00513AA2"/>
    <w:rsid w:val="00581ED1"/>
    <w:rsid w:val="005D1C56"/>
    <w:rsid w:val="005D6876"/>
    <w:rsid w:val="005D6FC8"/>
    <w:rsid w:val="006231A0"/>
    <w:rsid w:val="006851D5"/>
    <w:rsid w:val="006A11C8"/>
    <w:rsid w:val="006A71C1"/>
    <w:rsid w:val="006D74B7"/>
    <w:rsid w:val="006F25A9"/>
    <w:rsid w:val="0079190E"/>
    <w:rsid w:val="008956FC"/>
    <w:rsid w:val="00926C5A"/>
    <w:rsid w:val="0096166C"/>
    <w:rsid w:val="009674CA"/>
    <w:rsid w:val="009E7AF0"/>
    <w:rsid w:val="00A10500"/>
    <w:rsid w:val="00A21FE8"/>
    <w:rsid w:val="00AC7947"/>
    <w:rsid w:val="00AE6686"/>
    <w:rsid w:val="00AF2064"/>
    <w:rsid w:val="00AF691E"/>
    <w:rsid w:val="00B407F5"/>
    <w:rsid w:val="00B415E4"/>
    <w:rsid w:val="00B82633"/>
    <w:rsid w:val="00BC7C20"/>
    <w:rsid w:val="00C20902"/>
    <w:rsid w:val="00C42F87"/>
    <w:rsid w:val="00C76B47"/>
    <w:rsid w:val="00C817B2"/>
    <w:rsid w:val="00CB25C8"/>
    <w:rsid w:val="00CB349E"/>
    <w:rsid w:val="00DA53D7"/>
    <w:rsid w:val="00E00540"/>
    <w:rsid w:val="00E420BC"/>
    <w:rsid w:val="00E943A7"/>
    <w:rsid w:val="00E96923"/>
    <w:rsid w:val="00EE7731"/>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437A"/>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53B6"/>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0753B6"/>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753B6"/>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0753B6"/>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0753B6"/>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0753B6"/>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0753B6"/>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character" w:styleId="Hyperlink">
    <w:name w:val="Hyperlink"/>
    <w:uiPriority w:val="99"/>
    <w:rsid w:val="00AC79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the-sourcing-and-consultancy-playbook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2wVR4C1zYZ5XJkoNEAvX09jEWg==">AMUW2mU1ghfyZdICeAaJwywjrCpkPYE0hrE88EAtFgdFFGTZ4tcXfHQD9vSrPvMhMgnrdjySYVgr6wKYZJPLvYGsD8IqquHa0ux6Iy3WXFxdJxJU1/UxQR3Jnd/RNG6bF9DPDTBr4yxAurrGqssb4VopHYlTfwcE321P+MeiWEtZzg6DcZfrsxQcD5h79R5oOs8LnZgY6BEOn5UoFLSbj3ghAVzXwXhw8izh2206x7XX8yAdpmSuVj+TrHriZ+2z+H7VPlrpSqquBUBJ3ZX6E1o4/sTPChUBG61tiITYZAOtLhFxyHyD5OTOEoSMNnrz5oYQuZfm7IoSrLFczA2F/wU7cNHSeEf2PicHQqX4jeNsJXkOylS28tKpwoUpPGLji6ctIbvzdXEJdX2e663hhdpVjgjLe+a+p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DAD392-B8CA-47FE-908F-76822356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Becky Leftwich</cp:lastModifiedBy>
  <cp:revision>3</cp:revision>
  <dcterms:created xsi:type="dcterms:W3CDTF">2022-05-12T09:25:00Z</dcterms:created>
  <dcterms:modified xsi:type="dcterms:W3CDTF">2022-05-12T09:25:00Z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